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Hlk215144447"/>
      <w:bookmarkStart w:id="1" w:name="_Toc356553905"/>
      <w:bookmarkStart w:id="2" w:name="_Toc356553938"/>
      <w:bookmarkStart w:id="3" w:name="_Toc356554442"/>
      <w:bookmarkStart w:id="4" w:name="_Toc356554664"/>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D8020"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49418C" w14:textId="2F2B6469" w:rsidR="00C11842" w:rsidRPr="004C6CBE" w:rsidRDefault="003C4CF1"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p>
    <w:p w14:paraId="7E7534A7" w14:textId="77777777" w:rsidR="002E192D" w:rsidRPr="004C6CBE" w:rsidRDefault="00487AED" w:rsidP="002E192D">
      <w:pPr>
        <w:shd w:val="clear" w:color="auto" w:fill="FFFFFF"/>
        <w:spacing w:after="0" w:line="240" w:lineRule="auto"/>
        <w:rPr>
          <w:rFonts w:ascii="Aptos" w:eastAsia="Malgun Gothic" w:hAnsi="Aptos"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4C6CBE">
        <w:rPr>
          <w:rFonts w:ascii="Aptos" w:eastAsia="Malgun Gothic" w:hAnsi="Aptos"/>
          <w:lang w:val="en-GB"/>
        </w:rPr>
        <w:br/>
      </w:r>
    </w:p>
    <w:p w14:paraId="0446F084" w14:textId="4466A56C" w:rsidR="0061575D" w:rsidRPr="004C6CBE" w:rsidRDefault="0061575D" w:rsidP="0061575D">
      <w:pPr>
        <w:rPr>
          <w:rFonts w:ascii="Aptos" w:eastAsia="Malgun Gothic" w:hAnsi="Aptos" w:cs="Arial"/>
          <w:color w:val="002060"/>
          <w:lang w:val="en-GB" w:eastAsia="en-GB"/>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Pr="004C6CBE" w:rsidRDefault="004D1540" w:rsidP="005D5A13">
      <w:pPr>
        <w:rPr>
          <w:rFonts w:ascii="Aptos" w:eastAsia="Malgun Gothic" w:hAnsi="Aptos"/>
        </w:rPr>
      </w:pPr>
    </w:p>
    <w:p w14:paraId="7AEF6564" w14:textId="3B5A35BD" w:rsidR="00A35602" w:rsidRPr="00387A0B" w:rsidRDefault="009119D4" w:rsidP="00161717">
      <w:pPr>
        <w:pStyle w:val="TOC1"/>
        <w:rPr>
          <w:rStyle w:val="Hyperlink"/>
          <w:color w:val="0070C0"/>
          <w:sz w:val="28"/>
        </w:rPr>
      </w:pPr>
      <w:r w:rsidRPr="00387A0B">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05C80B1C" w14:textId="77777777" w:rsidR="00387A0B" w:rsidRPr="00161717" w:rsidRDefault="00387A0B" w:rsidP="00161717">
      <w:pPr>
        <w:pStyle w:val="TOC1"/>
        <w:spacing w:before="120" w:after="120"/>
        <w:rPr>
          <w:rStyle w:val="Hyperlink"/>
          <w:color w:val="0070C0"/>
          <w:sz w:val="20"/>
          <w:szCs w:val="20"/>
        </w:rPr>
      </w:pPr>
    </w:p>
    <w:bookmarkStart w:id="59" w:name="_Toc215144372"/>
    <w:p w14:paraId="460B2AAB" w14:textId="1F714CAE" w:rsidR="00663AC8" w:rsidRPr="00161717" w:rsidRDefault="00663AC8" w:rsidP="00161717">
      <w:pPr>
        <w:pStyle w:val="TOC1"/>
        <w:spacing w:before="120" w:after="120"/>
        <w:rPr>
          <w:rStyle w:val="Hyperlink"/>
          <w:color w:val="0070C0"/>
        </w:rPr>
      </w:pPr>
      <w:r w:rsidRPr="00161717">
        <w:rPr>
          <w:rStyle w:val="Hyperlink"/>
          <w:color w:val="0070C0"/>
          <w:sz w:val="20"/>
          <w:szCs w:val="20"/>
        </w:rPr>
        <w:fldChar w:fldCharType="begin"/>
      </w:r>
      <w:r w:rsidRPr="00161717">
        <w:rPr>
          <w:rStyle w:val="Hyperlink"/>
          <w:color w:val="0070C0"/>
          <w:sz w:val="20"/>
          <w:szCs w:val="20"/>
        </w:rPr>
        <w:instrText xml:space="preserve"> TOC \o "1-3" \n \h \z \u </w:instrText>
      </w:r>
      <w:r w:rsidRPr="00161717">
        <w:rPr>
          <w:rStyle w:val="Hyperlink"/>
          <w:color w:val="0070C0"/>
          <w:sz w:val="20"/>
          <w:szCs w:val="20"/>
        </w:rPr>
        <w:fldChar w:fldCharType="separate"/>
      </w:r>
      <w:hyperlink w:anchor="_Toc216355044" w:history="1">
        <w:r w:rsidRPr="00161717">
          <w:rPr>
            <w:rStyle w:val="Hyperlink"/>
            <w:color w:val="0070C0"/>
          </w:rPr>
          <w:t>FINANCE</w:t>
        </w:r>
      </w:hyperlink>
    </w:p>
    <w:p w14:paraId="3570C6FA" w14:textId="45F925D9" w:rsidR="00663AC8" w:rsidRPr="00161717" w:rsidRDefault="00663AC8" w:rsidP="00161717">
      <w:pPr>
        <w:pStyle w:val="TOC1"/>
        <w:spacing w:before="120" w:after="120"/>
        <w:rPr>
          <w:rStyle w:val="Hyperlink"/>
          <w:color w:val="0070C0"/>
          <w:sz w:val="20"/>
          <w:szCs w:val="20"/>
        </w:rPr>
      </w:pPr>
      <w:hyperlink w:anchor="_Toc216355045" w:history="1">
        <w:r w:rsidRPr="00161717">
          <w:rPr>
            <w:rStyle w:val="Hyperlink"/>
            <w:color w:val="0070C0"/>
            <w:sz w:val="20"/>
            <w:szCs w:val="20"/>
          </w:rPr>
          <w:t>No credit expansion made yet though banks used up all allocated room</w:t>
        </w:r>
      </w:hyperlink>
    </w:p>
    <w:p w14:paraId="63158CF3" w14:textId="663FF9A0" w:rsidR="00663AC8" w:rsidRPr="00161717" w:rsidRDefault="00663AC8" w:rsidP="00161717">
      <w:pPr>
        <w:pStyle w:val="TOC1"/>
        <w:spacing w:before="120" w:after="120"/>
        <w:rPr>
          <w:rStyle w:val="Hyperlink"/>
          <w:color w:val="0070C0"/>
          <w:sz w:val="20"/>
          <w:szCs w:val="20"/>
        </w:rPr>
      </w:pPr>
      <w:hyperlink w:anchor="_Toc216355047" w:history="1">
        <w:r w:rsidRPr="00161717">
          <w:rPr>
            <w:rStyle w:val="Hyperlink"/>
            <w:color w:val="0070C0"/>
            <w:sz w:val="20"/>
            <w:szCs w:val="20"/>
          </w:rPr>
          <w:t>A pilot scheme for crypto asset market</w:t>
        </w:r>
      </w:hyperlink>
    </w:p>
    <w:p w14:paraId="6AAF0AFE" w14:textId="588056D9" w:rsidR="00663AC8" w:rsidRPr="00161717" w:rsidRDefault="00663AC8" w:rsidP="00161717">
      <w:pPr>
        <w:pStyle w:val="TOC1"/>
        <w:spacing w:before="120" w:after="120"/>
        <w:rPr>
          <w:rStyle w:val="Hyperlink"/>
          <w:color w:val="0070C0"/>
        </w:rPr>
      </w:pPr>
      <w:hyperlink w:anchor="_Toc216355050" w:history="1">
        <w:r w:rsidRPr="00161717">
          <w:rPr>
            <w:rStyle w:val="Hyperlink"/>
            <w:color w:val="0070C0"/>
          </w:rPr>
          <w:t>ECONOMY</w:t>
        </w:r>
      </w:hyperlink>
    </w:p>
    <w:p w14:paraId="58459A0C" w14:textId="1EA04F99" w:rsidR="00663AC8" w:rsidRPr="00161717" w:rsidRDefault="00663AC8" w:rsidP="00161717">
      <w:pPr>
        <w:pStyle w:val="TOC1"/>
        <w:spacing w:before="120" w:after="120"/>
        <w:rPr>
          <w:rStyle w:val="Hyperlink"/>
          <w:color w:val="0070C0"/>
          <w:sz w:val="20"/>
          <w:szCs w:val="20"/>
        </w:rPr>
      </w:pPr>
      <w:hyperlink w:anchor="_Toc216355051" w:history="1">
        <w:r w:rsidRPr="00161717">
          <w:rPr>
            <w:rStyle w:val="Hyperlink"/>
            <w:color w:val="0070C0"/>
            <w:sz w:val="20"/>
            <w:szCs w:val="20"/>
          </w:rPr>
          <w:t>Aquatic exports poised to set new record in 2025</w:t>
        </w:r>
      </w:hyperlink>
    </w:p>
    <w:p w14:paraId="0133AE28" w14:textId="17907B34" w:rsidR="00663AC8" w:rsidRPr="00161717" w:rsidRDefault="00663AC8" w:rsidP="00161717">
      <w:pPr>
        <w:pStyle w:val="TOC1"/>
        <w:spacing w:before="120" w:after="120"/>
        <w:rPr>
          <w:rStyle w:val="Hyperlink"/>
          <w:color w:val="0070C0"/>
          <w:sz w:val="20"/>
          <w:szCs w:val="20"/>
        </w:rPr>
      </w:pPr>
      <w:hyperlink w:anchor="_Toc216355052" w:history="1">
        <w:r w:rsidRPr="00161717">
          <w:rPr>
            <w:rStyle w:val="Hyperlink"/>
            <w:color w:val="0070C0"/>
            <w:sz w:val="20"/>
            <w:szCs w:val="20"/>
          </w:rPr>
          <w:t>HCM City projects strong 8% growth for 2025</w:t>
        </w:r>
      </w:hyperlink>
    </w:p>
    <w:p w14:paraId="2258E5E2" w14:textId="6CE28249" w:rsidR="00663AC8" w:rsidRPr="00161717" w:rsidRDefault="00663AC8" w:rsidP="00161717">
      <w:pPr>
        <w:pStyle w:val="TOC1"/>
        <w:spacing w:before="120" w:after="120"/>
        <w:rPr>
          <w:rStyle w:val="Hyperlink"/>
          <w:color w:val="0070C0"/>
        </w:rPr>
      </w:pPr>
      <w:hyperlink w:anchor="_Toc216355054" w:history="1">
        <w:r w:rsidRPr="00161717">
          <w:rPr>
            <w:rStyle w:val="Hyperlink"/>
            <w:color w:val="0070C0"/>
          </w:rPr>
          <w:t>INVESTMENT</w:t>
        </w:r>
      </w:hyperlink>
    </w:p>
    <w:p w14:paraId="4777E378" w14:textId="35A8F467" w:rsidR="00663AC8" w:rsidRPr="00161717" w:rsidRDefault="00663AC8" w:rsidP="00161717">
      <w:pPr>
        <w:pStyle w:val="TOC1"/>
        <w:spacing w:before="120" w:after="120"/>
        <w:rPr>
          <w:rStyle w:val="Hyperlink"/>
          <w:color w:val="0070C0"/>
          <w:sz w:val="20"/>
          <w:szCs w:val="20"/>
        </w:rPr>
      </w:pPr>
      <w:hyperlink w:anchor="_Toc216355055" w:history="1">
        <w:r w:rsidRPr="00161717">
          <w:rPr>
            <w:rStyle w:val="Hyperlink"/>
            <w:color w:val="0070C0"/>
            <w:sz w:val="20"/>
            <w:szCs w:val="20"/>
          </w:rPr>
          <w:t>FDI in Vietnam jumps on additional capital and share purchases</w:t>
        </w:r>
      </w:hyperlink>
    </w:p>
    <w:p w14:paraId="5D5E60A9" w14:textId="0DF99171" w:rsidR="00663AC8" w:rsidRPr="00161717" w:rsidRDefault="00663AC8" w:rsidP="00161717">
      <w:pPr>
        <w:pStyle w:val="TOC1"/>
        <w:spacing w:before="120" w:after="120"/>
        <w:rPr>
          <w:rStyle w:val="Hyperlink"/>
          <w:color w:val="0070C0"/>
          <w:sz w:val="20"/>
          <w:szCs w:val="20"/>
        </w:rPr>
      </w:pPr>
      <w:hyperlink w:anchor="_Toc216355056" w:history="1">
        <w:r w:rsidRPr="00161717">
          <w:rPr>
            <w:rStyle w:val="Hyperlink"/>
            <w:color w:val="0070C0"/>
            <w:sz w:val="20"/>
            <w:szCs w:val="20"/>
          </w:rPr>
          <w:t>Fundamentals required for M&amp;A wins</w:t>
        </w:r>
      </w:hyperlink>
    </w:p>
    <w:p w14:paraId="08AF2D15" w14:textId="42472758" w:rsidR="00663AC8" w:rsidRPr="00161717" w:rsidRDefault="00663AC8" w:rsidP="00161717">
      <w:pPr>
        <w:pStyle w:val="TOC1"/>
        <w:spacing w:before="120" w:after="120"/>
        <w:rPr>
          <w:rStyle w:val="Hyperlink"/>
          <w:color w:val="0070C0"/>
        </w:rPr>
      </w:pPr>
      <w:hyperlink w:anchor="_Toc216355057" w:history="1">
        <w:r w:rsidRPr="00161717">
          <w:rPr>
            <w:rStyle w:val="Hyperlink"/>
            <w:color w:val="0070C0"/>
          </w:rPr>
          <w:t>PROPERTY</w:t>
        </w:r>
      </w:hyperlink>
    </w:p>
    <w:p w14:paraId="43613181" w14:textId="7D7FC545" w:rsidR="00663AC8" w:rsidRPr="00161717" w:rsidRDefault="00663AC8" w:rsidP="00161717">
      <w:pPr>
        <w:pStyle w:val="TOC1"/>
        <w:spacing w:before="120" w:after="120"/>
        <w:rPr>
          <w:rStyle w:val="Hyperlink"/>
          <w:color w:val="0070C0"/>
          <w:sz w:val="20"/>
          <w:szCs w:val="20"/>
        </w:rPr>
      </w:pPr>
      <w:hyperlink w:anchor="_Toc216355058" w:history="1">
        <w:r w:rsidRPr="00161717">
          <w:rPr>
            <w:rStyle w:val="Hyperlink"/>
            <w:color w:val="0070C0"/>
            <w:sz w:val="20"/>
            <w:szCs w:val="20"/>
          </w:rPr>
          <w:t>Satellite cities to be centres of real estate development for next decade: Savills</w:t>
        </w:r>
      </w:hyperlink>
    </w:p>
    <w:p w14:paraId="761483F2" w14:textId="13B58205" w:rsidR="00663AC8" w:rsidRPr="00161717" w:rsidRDefault="00663AC8" w:rsidP="00161717">
      <w:pPr>
        <w:pStyle w:val="TOC1"/>
        <w:spacing w:before="120" w:after="120"/>
        <w:rPr>
          <w:rStyle w:val="Hyperlink"/>
          <w:color w:val="0070C0"/>
          <w:sz w:val="20"/>
          <w:szCs w:val="20"/>
        </w:rPr>
      </w:pPr>
      <w:hyperlink w:anchor="_Toc216355060" w:history="1">
        <w:r w:rsidRPr="00161717">
          <w:rPr>
            <w:rStyle w:val="Hyperlink"/>
            <w:color w:val="0070C0"/>
            <w:sz w:val="20"/>
            <w:szCs w:val="20"/>
          </w:rPr>
          <w:t>Real estate deals boom via high-profile names</w:t>
        </w:r>
      </w:hyperlink>
    </w:p>
    <w:p w14:paraId="61B06FDD" w14:textId="03636926" w:rsidR="00663AC8" w:rsidRPr="00161717" w:rsidRDefault="00663AC8" w:rsidP="00161717">
      <w:pPr>
        <w:pStyle w:val="TOC1"/>
        <w:spacing w:before="120" w:after="120"/>
        <w:rPr>
          <w:rStyle w:val="Hyperlink"/>
          <w:color w:val="0070C0"/>
        </w:rPr>
      </w:pPr>
      <w:hyperlink w:anchor="_Toc216355062" w:history="1">
        <w:r w:rsidRPr="00161717">
          <w:rPr>
            <w:rStyle w:val="Hyperlink"/>
            <w:color w:val="0070C0"/>
          </w:rPr>
          <w:t>OIL&amp;GAS&amp;ENERGY&amp;MINING</w:t>
        </w:r>
      </w:hyperlink>
    </w:p>
    <w:p w14:paraId="48C06CEB" w14:textId="0EE9AE41" w:rsidR="00663AC8" w:rsidRPr="00161717" w:rsidRDefault="00663AC8" w:rsidP="00161717">
      <w:pPr>
        <w:pStyle w:val="TOC1"/>
        <w:spacing w:before="120" w:after="120"/>
        <w:rPr>
          <w:rStyle w:val="Hyperlink"/>
          <w:color w:val="0070C0"/>
          <w:sz w:val="20"/>
          <w:szCs w:val="20"/>
        </w:rPr>
      </w:pPr>
      <w:hyperlink w:anchor="_Toc216355063" w:history="1">
        <w:r w:rsidRPr="00161717">
          <w:rPr>
            <w:rStyle w:val="Hyperlink"/>
            <w:color w:val="0070C0"/>
            <w:sz w:val="20"/>
            <w:szCs w:val="20"/>
          </w:rPr>
          <w:t>Japan pulls out of Vietnam nuclear project, complicating Hanoi's power plans</w:t>
        </w:r>
        <w:r w:rsidRPr="00161717">
          <w:rPr>
            <w:rStyle w:val="Hyperlink"/>
            <w:rFonts w:ascii="Arial" w:hAnsi="Arial" w:cs="Arial"/>
            <w:color w:val="0070C0"/>
            <w:sz w:val="20"/>
            <w:szCs w:val="20"/>
          </w:rPr>
          <w:t>​</w:t>
        </w:r>
      </w:hyperlink>
    </w:p>
    <w:p w14:paraId="3770FEAC" w14:textId="3209F414" w:rsidR="00663AC8" w:rsidRPr="00161717" w:rsidRDefault="00663AC8" w:rsidP="00161717">
      <w:pPr>
        <w:pStyle w:val="TOC1"/>
        <w:spacing w:before="120" w:after="120"/>
        <w:rPr>
          <w:rStyle w:val="Hyperlink"/>
          <w:color w:val="0070C0"/>
          <w:sz w:val="20"/>
          <w:szCs w:val="20"/>
        </w:rPr>
      </w:pPr>
      <w:hyperlink w:anchor="_Toc216355066" w:history="1">
        <w:r w:rsidRPr="00161717">
          <w:rPr>
            <w:rStyle w:val="Hyperlink"/>
            <w:color w:val="0070C0"/>
            <w:sz w:val="20"/>
            <w:szCs w:val="20"/>
          </w:rPr>
          <w:t>Kolon industries and NuriFlex launch 5.151 MWp rooftop solar power system</w:t>
        </w:r>
      </w:hyperlink>
    </w:p>
    <w:p w14:paraId="04E6EF3E" w14:textId="78BB2974" w:rsidR="00663AC8" w:rsidRPr="00161717" w:rsidRDefault="00663AC8" w:rsidP="00161717">
      <w:pPr>
        <w:pStyle w:val="TOC1"/>
        <w:spacing w:before="120" w:after="120"/>
        <w:rPr>
          <w:rStyle w:val="Hyperlink"/>
          <w:color w:val="0070C0"/>
        </w:rPr>
      </w:pPr>
      <w:hyperlink w:anchor="_Toc216355067" w:history="1">
        <w:r w:rsidRPr="00161717">
          <w:rPr>
            <w:rStyle w:val="Hyperlink"/>
            <w:color w:val="0070C0"/>
          </w:rPr>
          <w:t>LEGAL</w:t>
        </w:r>
      </w:hyperlink>
    </w:p>
    <w:p w14:paraId="2A74E070" w14:textId="03CB909E" w:rsidR="00663AC8" w:rsidRPr="00161717" w:rsidRDefault="00663AC8" w:rsidP="00161717">
      <w:pPr>
        <w:pStyle w:val="TOC1"/>
        <w:spacing w:before="120" w:after="120"/>
        <w:rPr>
          <w:rStyle w:val="Hyperlink"/>
          <w:color w:val="0070C0"/>
          <w:sz w:val="20"/>
          <w:szCs w:val="20"/>
        </w:rPr>
      </w:pPr>
      <w:hyperlink w:anchor="_Toc216355068" w:history="1">
        <w:r w:rsidRPr="00161717">
          <w:rPr>
            <w:rStyle w:val="Hyperlink"/>
            <w:color w:val="0070C0"/>
            <w:sz w:val="20"/>
            <w:szCs w:val="20"/>
          </w:rPr>
          <w:t>Foreign investors exempt from asset and income declaration as new Anti-Corruption Law passes</w:t>
        </w:r>
      </w:hyperlink>
    </w:p>
    <w:p w14:paraId="1582DB5A" w14:textId="57B7EB20" w:rsidR="00663AC8" w:rsidRPr="00161717" w:rsidRDefault="00663AC8" w:rsidP="00161717">
      <w:pPr>
        <w:pStyle w:val="TOC1"/>
        <w:spacing w:before="120" w:after="120"/>
        <w:rPr>
          <w:rStyle w:val="Hyperlink"/>
          <w:color w:val="0070C0"/>
          <w:sz w:val="20"/>
          <w:szCs w:val="20"/>
        </w:rPr>
      </w:pPr>
      <w:hyperlink w:anchor="_Toc216355070" w:history="1">
        <w:r w:rsidRPr="00161717">
          <w:rPr>
            <w:rStyle w:val="Hyperlink"/>
            <w:color w:val="0070C0"/>
            <w:sz w:val="20"/>
            <w:szCs w:val="20"/>
          </w:rPr>
          <w:t>Law on Personal Income Tax (amended) approved</w:t>
        </w:r>
      </w:hyperlink>
    </w:p>
    <w:p w14:paraId="5F27B0AC" w14:textId="3F373DB6" w:rsidR="00B627FB" w:rsidRPr="00161717" w:rsidRDefault="00663AC8" w:rsidP="00161717">
      <w:pPr>
        <w:pStyle w:val="TOC1"/>
        <w:spacing w:before="120" w:after="120"/>
        <w:rPr>
          <w:rStyle w:val="Hyperlink"/>
          <w:color w:val="0070C0"/>
          <w:sz w:val="22"/>
          <w:szCs w:val="22"/>
        </w:rPr>
      </w:pPr>
      <w:r w:rsidRPr="00161717">
        <w:rPr>
          <w:rStyle w:val="Hyperlink"/>
          <w:color w:val="0070C0"/>
          <w:sz w:val="20"/>
          <w:szCs w:val="20"/>
        </w:rPr>
        <w:fldChar w:fldCharType="end"/>
      </w:r>
    </w:p>
    <w:p w14:paraId="0ABCB7F9" w14:textId="77777777" w:rsidR="00B627FB" w:rsidRDefault="00B627FB" w:rsidP="00B627FB"/>
    <w:p w14:paraId="45F55B86" w14:textId="77777777" w:rsidR="00161717" w:rsidRPr="00B627FB" w:rsidRDefault="00161717" w:rsidP="00B627FB"/>
    <w:p w14:paraId="0683842B" w14:textId="345D422B" w:rsidR="00687F12" w:rsidRDefault="00687F12" w:rsidP="00687F12">
      <w:pPr>
        <w:pStyle w:val="Heading1"/>
        <w:shd w:val="clear" w:color="auto" w:fill="FFFFFF"/>
        <w:spacing w:before="0" w:line="288" w:lineRule="atLeast"/>
        <w:rPr>
          <w:rFonts w:ascii="Aptos" w:eastAsia="Malgun Gothic" w:hAnsi="Aptos" w:cs="Times New Roman"/>
          <w:color w:val="002060"/>
        </w:rPr>
      </w:pPr>
      <w:bookmarkStart w:id="60" w:name="_Toc215750949"/>
      <w:bookmarkStart w:id="61" w:name="_Toc216355044"/>
      <w:r w:rsidRPr="004C6CBE">
        <w:rPr>
          <w:rFonts w:ascii="Aptos" w:eastAsia="Malgun Gothic" w:hAnsi="Aptos" w:cs="Times New Roman"/>
          <w:color w:val="002060"/>
        </w:rPr>
        <w:t>FINANCE</w:t>
      </w:r>
      <w:bookmarkEnd w:id="59"/>
      <w:bookmarkEnd w:id="60"/>
      <w:bookmarkEnd w:id="61"/>
    </w:p>
    <w:p w14:paraId="282C8F38" w14:textId="77777777" w:rsidR="000D1404" w:rsidRPr="000D1404" w:rsidRDefault="000D1404" w:rsidP="000D1404"/>
    <w:p w14:paraId="06C747DE" w14:textId="77777777" w:rsidR="000D1404" w:rsidRPr="000D1404" w:rsidRDefault="000D1404" w:rsidP="000D1404">
      <w:pPr>
        <w:spacing w:after="150" w:line="288" w:lineRule="auto"/>
        <w:jc w:val="both"/>
        <w:outlineLvl w:val="0"/>
        <w:rPr>
          <w:rFonts w:ascii="Aptos" w:eastAsia="Times New Roman" w:hAnsi="Aptos" w:cs="Times New Roman"/>
          <w:b/>
          <w:bCs/>
          <w:color w:val="002060"/>
          <w:kern w:val="36"/>
          <w:sz w:val="24"/>
          <w:szCs w:val="24"/>
        </w:rPr>
      </w:pPr>
      <w:bookmarkStart w:id="62" w:name="_Toc216355045"/>
      <w:r w:rsidRPr="000D1404">
        <w:rPr>
          <w:rFonts w:ascii="Aptos" w:eastAsia="Times New Roman" w:hAnsi="Aptos" w:cs="Times New Roman"/>
          <w:b/>
          <w:bCs/>
          <w:color w:val="002060"/>
          <w:kern w:val="36"/>
          <w:sz w:val="24"/>
          <w:szCs w:val="24"/>
        </w:rPr>
        <w:t>No credit expansion made yet though banks used up all allocated room</w:t>
      </w:r>
      <w:bookmarkEnd w:id="62"/>
    </w:p>
    <w:p w14:paraId="168262EC" w14:textId="2D4E69B3" w:rsidR="000D1404" w:rsidRDefault="000D1404" w:rsidP="000D1404">
      <w:pPr>
        <w:spacing w:after="150" w:line="288" w:lineRule="auto"/>
        <w:jc w:val="both"/>
        <w:outlineLvl w:val="0"/>
        <w:rPr>
          <w:rFonts w:ascii="Aptos" w:eastAsia="Times New Roman" w:hAnsi="Aptos" w:cs="Times New Roman"/>
          <w:i/>
          <w:iCs/>
          <w:color w:val="002060"/>
          <w:kern w:val="36"/>
          <w:sz w:val="18"/>
          <w:szCs w:val="18"/>
        </w:rPr>
      </w:pPr>
      <w:bookmarkStart w:id="63" w:name="_Toc216355046"/>
      <w:r w:rsidRPr="000D1404">
        <w:rPr>
          <w:rFonts w:ascii="Aptos" w:eastAsia="Times New Roman" w:hAnsi="Aptos" w:cs="Times New Roman"/>
          <w:i/>
          <w:iCs/>
          <w:color w:val="002060"/>
          <w:kern w:val="36"/>
          <w:sz w:val="18"/>
          <w:szCs w:val="18"/>
        </w:rPr>
        <w:t>VNS</w:t>
      </w:r>
      <w:bookmarkEnd w:id="63"/>
    </w:p>
    <w:p w14:paraId="50DD3DED" w14:textId="77777777" w:rsidR="000D1404" w:rsidRPr="000D1404" w:rsidRDefault="000D1404" w:rsidP="000D1404">
      <w:pPr>
        <w:spacing w:after="150" w:line="288" w:lineRule="auto"/>
        <w:jc w:val="both"/>
        <w:outlineLvl w:val="0"/>
        <w:rPr>
          <w:rFonts w:ascii="Aptos" w:eastAsia="Times New Roman" w:hAnsi="Aptos" w:cs="Times New Roman"/>
          <w:i/>
          <w:iCs/>
          <w:color w:val="002060"/>
          <w:kern w:val="36"/>
          <w:sz w:val="18"/>
          <w:szCs w:val="18"/>
        </w:rPr>
      </w:pPr>
    </w:p>
    <w:p w14:paraId="3B537352" w14:textId="77777777" w:rsidR="000D1404" w:rsidRPr="000D1404" w:rsidRDefault="000D1404" w:rsidP="000D1404">
      <w:pPr>
        <w:spacing w:line="288" w:lineRule="auto"/>
        <w:jc w:val="both"/>
        <w:rPr>
          <w:rFonts w:ascii="Aptos" w:eastAsia="Times New Roman" w:hAnsi="Aptos" w:cs="Poppins"/>
          <w:color w:val="002060"/>
        </w:rPr>
      </w:pPr>
      <w:r w:rsidRPr="000D1404">
        <w:rPr>
          <w:rFonts w:ascii="Aptos" w:eastAsia="Times New Roman" w:hAnsi="Aptos" w:cs="Poppins"/>
          <w:color w:val="002060"/>
        </w:rPr>
        <w:t xml:space="preserve">Without a further credit increase from the </w:t>
      </w:r>
      <w:proofErr w:type="spellStart"/>
      <w:r w:rsidRPr="000D1404">
        <w:rPr>
          <w:rFonts w:ascii="Aptos" w:eastAsia="Times New Roman" w:hAnsi="Aptos" w:cs="Poppins"/>
          <w:color w:val="002060"/>
        </w:rPr>
        <w:t>SBV</w:t>
      </w:r>
      <w:proofErr w:type="spellEnd"/>
      <w:r w:rsidRPr="000D1404">
        <w:rPr>
          <w:rFonts w:ascii="Aptos" w:eastAsia="Times New Roman" w:hAnsi="Aptos" w:cs="Poppins"/>
          <w:color w:val="002060"/>
        </w:rPr>
        <w:t>, credit supply has become limited in the fourth quarter as credit strongly surged by nearly 14 per cent in the first nine months of this year while allocated credit room of many banks was used up.</w:t>
      </w:r>
    </w:p>
    <w:p w14:paraId="3C777DC2" w14:textId="7E2CB05A"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The State Bank of Vietnam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has not yet announced a credit expansion for commercial banks, even though many have already used nearly all of their credit growth room for 2025 by the end of the third quarter.</w:t>
      </w:r>
    </w:p>
    <w:p w14:paraId="4F204E6C"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In previous years, the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xml:space="preserve"> often allowed a credit room increase in October or November, but this year the latest adjustment came at the end of July.</w:t>
      </w:r>
    </w:p>
    <w:p w14:paraId="256D61FF"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Without further credit expansion from the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xml:space="preserve">, supply has tightened in the fourth quarter, following a strong surge of nearly 14 per cent in the first nine months of the year, with many banks having already fully </w:t>
      </w:r>
      <w:proofErr w:type="spellStart"/>
      <w:r w:rsidRPr="000D1404">
        <w:rPr>
          <w:rFonts w:ascii="Aptos" w:eastAsia="Times New Roman" w:hAnsi="Aptos" w:cs="Segoe UI"/>
          <w:color w:val="002060"/>
        </w:rPr>
        <w:t>utilised</w:t>
      </w:r>
      <w:proofErr w:type="spellEnd"/>
      <w:r w:rsidRPr="000D1404">
        <w:rPr>
          <w:rFonts w:ascii="Aptos" w:eastAsia="Times New Roman" w:hAnsi="Aptos" w:cs="Segoe UI"/>
          <w:color w:val="002060"/>
        </w:rPr>
        <w:t xml:space="preserve"> their allocated credit.</w:t>
      </w:r>
    </w:p>
    <w:p w14:paraId="70554887"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For example, OCB is awaiting a credit expansion after almost reaching the 13-14 per cent credit room assigned at the start of the year. By the end of the third quarter, OCB’s outstanding loans exceeded </w:t>
      </w:r>
      <w:proofErr w:type="spellStart"/>
      <w:r w:rsidRPr="000D1404">
        <w:rPr>
          <w:rFonts w:ascii="Aptos" w:eastAsia="Times New Roman" w:hAnsi="Aptos" w:cs="Segoe UI"/>
          <w:color w:val="002060"/>
        </w:rPr>
        <w:t>VNĐ200</w:t>
      </w:r>
      <w:proofErr w:type="spellEnd"/>
      <w:r w:rsidRPr="000D1404">
        <w:rPr>
          <w:rFonts w:ascii="Aptos" w:eastAsia="Times New Roman" w:hAnsi="Aptos" w:cs="Segoe UI"/>
          <w:color w:val="002060"/>
        </w:rPr>
        <w:t xml:space="preserve"> trillion, up 13.7 per cent from the beginning of 2025.</w:t>
      </w:r>
    </w:p>
    <w:p w14:paraId="12CC5B88"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Currently, only a few banks that undertook mandatory transfers of weak banks and received a credit expansion as a reward from the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xml:space="preserve"> may still have abundant lending capacity.</w:t>
      </w:r>
    </w:p>
    <w:p w14:paraId="44E026E1"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Analysts at </w:t>
      </w:r>
      <w:proofErr w:type="spellStart"/>
      <w:r w:rsidRPr="000D1404">
        <w:rPr>
          <w:rFonts w:ascii="Aptos" w:eastAsia="Times New Roman" w:hAnsi="Aptos" w:cs="Segoe UI"/>
          <w:color w:val="002060"/>
        </w:rPr>
        <w:t>Việt</w:t>
      </w:r>
      <w:proofErr w:type="spellEnd"/>
      <w:r w:rsidRPr="000D1404">
        <w:rPr>
          <w:rFonts w:ascii="Aptos" w:eastAsia="Times New Roman" w:hAnsi="Aptos" w:cs="Segoe UI"/>
          <w:color w:val="002060"/>
        </w:rPr>
        <w:t xml:space="preserve"> Dragon Capital Securities (</w:t>
      </w:r>
      <w:proofErr w:type="spellStart"/>
      <w:r w:rsidRPr="000D1404">
        <w:rPr>
          <w:rFonts w:ascii="Aptos" w:eastAsia="Times New Roman" w:hAnsi="Aptos" w:cs="Segoe UI"/>
          <w:color w:val="002060"/>
        </w:rPr>
        <w:t>VDSC</w:t>
      </w:r>
      <w:proofErr w:type="spellEnd"/>
      <w:r w:rsidRPr="000D1404">
        <w:rPr>
          <w:rFonts w:ascii="Aptos" w:eastAsia="Times New Roman" w:hAnsi="Aptos" w:cs="Segoe UI"/>
          <w:color w:val="002060"/>
        </w:rPr>
        <w:t xml:space="preserve">) note that the </w:t>
      </w:r>
      <w:proofErr w:type="spellStart"/>
      <w:r w:rsidRPr="000D1404">
        <w:rPr>
          <w:rFonts w:ascii="Aptos" w:eastAsia="Times New Roman" w:hAnsi="Aptos" w:cs="Segoe UI"/>
          <w:color w:val="002060"/>
        </w:rPr>
        <w:t>SBV’s</w:t>
      </w:r>
      <w:proofErr w:type="spellEnd"/>
      <w:r w:rsidRPr="000D1404">
        <w:rPr>
          <w:rFonts w:ascii="Aptos" w:eastAsia="Times New Roman" w:hAnsi="Aptos" w:cs="Segoe UI"/>
          <w:color w:val="002060"/>
        </w:rPr>
        <w:t xml:space="preserve"> decision not to loosen credit during the peak disbursement period reflects a more cautious monetary management approach. This policy aims to </w:t>
      </w:r>
      <w:proofErr w:type="spellStart"/>
      <w:r w:rsidRPr="000D1404">
        <w:rPr>
          <w:rFonts w:ascii="Aptos" w:eastAsia="Times New Roman" w:hAnsi="Aptos" w:cs="Segoe UI"/>
          <w:color w:val="002060"/>
        </w:rPr>
        <w:t>stabilise</w:t>
      </w:r>
      <w:proofErr w:type="spellEnd"/>
      <w:r w:rsidRPr="000D1404">
        <w:rPr>
          <w:rFonts w:ascii="Aptos" w:eastAsia="Times New Roman" w:hAnsi="Aptos" w:cs="Segoe UI"/>
          <w:color w:val="002060"/>
        </w:rPr>
        <w:t xml:space="preserve"> interest rates while the banking system’s liquidity shows signs of tightening, as many large banks’ loan-to-deposit </w:t>
      </w:r>
      <w:r w:rsidRPr="000D1404">
        <w:rPr>
          <w:rFonts w:ascii="Aptos" w:eastAsia="Times New Roman" w:hAnsi="Aptos" w:cs="Segoe UI"/>
          <w:color w:val="002060"/>
        </w:rPr>
        <w:lastRenderedPageBreak/>
        <w:t>ratios (</w:t>
      </w:r>
      <w:proofErr w:type="spellStart"/>
      <w:r w:rsidRPr="000D1404">
        <w:rPr>
          <w:rFonts w:ascii="Aptos" w:eastAsia="Times New Roman" w:hAnsi="Aptos" w:cs="Segoe UI"/>
          <w:color w:val="002060"/>
        </w:rPr>
        <w:t>LDR</w:t>
      </w:r>
      <w:proofErr w:type="spellEnd"/>
      <w:r w:rsidRPr="000D1404">
        <w:rPr>
          <w:rFonts w:ascii="Aptos" w:eastAsia="Times New Roman" w:hAnsi="Aptos" w:cs="Segoe UI"/>
          <w:color w:val="002060"/>
        </w:rPr>
        <w:t>) approach the regulated cap of 85 per cent by the end of the third quarter. It also helps ease pressure on the USD/</w:t>
      </w:r>
      <w:proofErr w:type="spellStart"/>
      <w:r w:rsidRPr="000D1404">
        <w:rPr>
          <w:rFonts w:ascii="Aptos" w:eastAsia="Times New Roman" w:hAnsi="Aptos" w:cs="Segoe UI"/>
          <w:color w:val="002060"/>
        </w:rPr>
        <w:t>VNĐ</w:t>
      </w:r>
      <w:proofErr w:type="spellEnd"/>
      <w:r w:rsidRPr="000D1404">
        <w:rPr>
          <w:rFonts w:ascii="Aptos" w:eastAsia="Times New Roman" w:hAnsi="Aptos" w:cs="Segoe UI"/>
          <w:color w:val="002060"/>
        </w:rPr>
        <w:t xml:space="preserve"> exchange rate in the final months of the year.</w:t>
      </w:r>
    </w:p>
    <w:p w14:paraId="66406199"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Although the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xml:space="preserve"> could consider expanding credit if the US Federal Reserve cuts interest rates at its December 9-10 meeting, analysts say it remains more likely that the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xml:space="preserve"> will maintain a cautious stance until the end of 2025.</w:t>
      </w:r>
    </w:p>
    <w:p w14:paraId="4EED1EF2" w14:textId="77777777" w:rsidR="000D1404" w:rsidRPr="000D1404" w:rsidRDefault="000D1404" w:rsidP="000D1404">
      <w:pPr>
        <w:spacing w:after="450" w:line="288" w:lineRule="auto"/>
        <w:jc w:val="both"/>
        <w:rPr>
          <w:rFonts w:ascii="Aptos" w:eastAsia="Times New Roman" w:hAnsi="Aptos" w:cs="Segoe UI"/>
          <w:color w:val="002060"/>
        </w:rPr>
      </w:pPr>
      <w:r w:rsidRPr="000D1404">
        <w:rPr>
          <w:rFonts w:ascii="Aptos" w:eastAsia="Times New Roman" w:hAnsi="Aptos" w:cs="Segoe UI"/>
          <w:color w:val="002060"/>
        </w:rPr>
        <w:t xml:space="preserve">In previous years, when the </w:t>
      </w:r>
      <w:proofErr w:type="spellStart"/>
      <w:r w:rsidRPr="000D1404">
        <w:rPr>
          <w:rFonts w:ascii="Aptos" w:eastAsia="Times New Roman" w:hAnsi="Aptos" w:cs="Segoe UI"/>
          <w:color w:val="002060"/>
        </w:rPr>
        <w:t>SBV</w:t>
      </w:r>
      <w:proofErr w:type="spellEnd"/>
      <w:r w:rsidRPr="000D1404">
        <w:rPr>
          <w:rFonts w:ascii="Aptos" w:eastAsia="Times New Roman" w:hAnsi="Aptos" w:cs="Segoe UI"/>
          <w:color w:val="002060"/>
        </w:rPr>
        <w:t xml:space="preserve"> did not strictly control capital flows, fourth-quarter credit growth could rise 5-6 per cent quarterly. This year, the indicator is expected to fall below that baseline.</w:t>
      </w:r>
    </w:p>
    <w:p w14:paraId="79C9071F" w14:textId="77777777" w:rsidR="000D1404" w:rsidRPr="000D1404" w:rsidRDefault="000D1404" w:rsidP="000D1404">
      <w:pPr>
        <w:spacing w:after="450" w:line="288" w:lineRule="auto"/>
        <w:jc w:val="both"/>
        <w:rPr>
          <w:rFonts w:ascii="Aptos" w:eastAsia="Times New Roman" w:hAnsi="Aptos" w:cs="Segoe UI"/>
          <w:color w:val="002060"/>
        </w:rPr>
      </w:pPr>
      <w:proofErr w:type="spellStart"/>
      <w:r w:rsidRPr="000D1404">
        <w:rPr>
          <w:rFonts w:ascii="Aptos" w:eastAsia="Times New Roman" w:hAnsi="Aptos" w:cs="Segoe UI"/>
          <w:color w:val="002060"/>
        </w:rPr>
        <w:t>VDSC</w:t>
      </w:r>
      <w:proofErr w:type="spellEnd"/>
      <w:r w:rsidRPr="000D1404">
        <w:rPr>
          <w:rFonts w:ascii="Aptos" w:eastAsia="Times New Roman" w:hAnsi="Aptos" w:cs="Segoe UI"/>
          <w:color w:val="002060"/>
        </w:rPr>
        <w:t xml:space="preserve"> analysts believe that banks will focus on </w:t>
      </w:r>
      <w:proofErr w:type="spellStart"/>
      <w:r w:rsidRPr="000D1404">
        <w:rPr>
          <w:rFonts w:ascii="Aptos" w:eastAsia="Times New Roman" w:hAnsi="Aptos" w:cs="Segoe UI"/>
          <w:color w:val="002060"/>
        </w:rPr>
        <w:t>optimising</w:t>
      </w:r>
      <w:proofErr w:type="spellEnd"/>
      <w:r w:rsidRPr="000D1404">
        <w:rPr>
          <w:rFonts w:ascii="Aptos" w:eastAsia="Times New Roman" w:hAnsi="Aptos" w:cs="Segoe UI"/>
          <w:color w:val="002060"/>
        </w:rPr>
        <w:t xml:space="preserve"> their allocated credit in the last quarter, with total banking industry credit growth expected to reach about 18.2 per cent, surpassing the 16 per cent target.</w:t>
      </w:r>
    </w:p>
    <w:p w14:paraId="4F936CD2" w14:textId="64BE43BD" w:rsidR="003E0394" w:rsidRPr="000D1404" w:rsidRDefault="000D1404" w:rsidP="000D1404">
      <w:pPr>
        <w:spacing w:after="450" w:line="288" w:lineRule="auto"/>
        <w:jc w:val="both"/>
        <w:rPr>
          <w:rFonts w:ascii="Segoe UI" w:eastAsia="Times New Roman" w:hAnsi="Segoe UI" w:cs="Segoe UI"/>
          <w:color w:val="000000"/>
          <w:sz w:val="27"/>
          <w:szCs w:val="27"/>
        </w:rPr>
      </w:pPr>
      <w:r w:rsidRPr="000D1404">
        <w:rPr>
          <w:rFonts w:ascii="Aptos" w:eastAsia="Times New Roman" w:hAnsi="Aptos" w:cs="Segoe UI"/>
          <w:color w:val="002060"/>
        </w:rPr>
        <w:t xml:space="preserve">They forecast that the banking sector will continue to enjoy strong profit growth in </w:t>
      </w:r>
      <w:proofErr w:type="spellStart"/>
      <w:r w:rsidRPr="000D1404">
        <w:rPr>
          <w:rFonts w:ascii="Aptos" w:eastAsia="Times New Roman" w:hAnsi="Aptos" w:cs="Segoe UI"/>
          <w:color w:val="002060"/>
        </w:rPr>
        <w:t>Q4</w:t>
      </w:r>
      <w:proofErr w:type="spellEnd"/>
      <w:r w:rsidRPr="000D1404">
        <w:rPr>
          <w:rFonts w:ascii="Aptos" w:eastAsia="Times New Roman" w:hAnsi="Aptos" w:cs="Segoe UI"/>
          <w:color w:val="002060"/>
        </w:rPr>
        <w:t xml:space="preserve"> of this year thanks to credit growth above 18 per cent and a projected net interest margin (NIM) increase of 10 basis points from the previous quarter, despite persistent liquidity pressures and rising capital costs. </w:t>
      </w:r>
    </w:p>
    <w:bookmarkStart w:id="64" w:name="_Toc28949349"/>
    <w:bookmarkStart w:id="65" w:name="_Toc29553153"/>
    <w:bookmarkStart w:id="66" w:name="_Toc31365275"/>
    <w:bookmarkStart w:id="67" w:name="_Toc31968678"/>
    <w:bookmarkStart w:id="68" w:name="_Toc33177772"/>
    <w:bookmarkStart w:id="69" w:name="_Toc33784195"/>
    <w:bookmarkStart w:id="70" w:name="_Toc34387332"/>
    <w:bookmarkStart w:id="71" w:name="_Toc34992442"/>
    <w:bookmarkStart w:id="72" w:name="_Toc36200889"/>
    <w:bookmarkStart w:id="73" w:name="_Toc36804857"/>
    <w:bookmarkStart w:id="74" w:name="_Toc37412091"/>
    <w:bookmarkStart w:id="75" w:name="_Toc38016885"/>
    <w:bookmarkStart w:id="76" w:name="_Toc38623235"/>
    <w:bookmarkStart w:id="77" w:name="_Toc47007101"/>
    <w:bookmarkStart w:id="78" w:name="_Toc47608047"/>
    <w:bookmarkStart w:id="79" w:name="_Toc48219500"/>
    <w:bookmarkStart w:id="80" w:name="_Toc48816704"/>
    <w:bookmarkStart w:id="81" w:name="_Toc49427949"/>
    <w:bookmarkStart w:id="82" w:name="_Toc50027094"/>
    <w:bookmarkStart w:id="83" w:name="_Toc50638507"/>
    <w:bookmarkStart w:id="84" w:name="_Toc51235697"/>
    <w:bookmarkStart w:id="85" w:name="_Toc51848397"/>
    <w:bookmarkStart w:id="86" w:name="_Toc52453548"/>
    <w:bookmarkStart w:id="87" w:name="_Toc53055800"/>
    <w:bookmarkStart w:id="88" w:name="_Toc53660720"/>
    <w:bookmarkStart w:id="89" w:name="_Toc54259220"/>
    <w:bookmarkStart w:id="90" w:name="_Toc54865633"/>
    <w:bookmarkStart w:id="91" w:name="_Toc55477664"/>
    <w:bookmarkStart w:id="92" w:name="_Toc56073552"/>
    <w:bookmarkStart w:id="93" w:name="_Toc56678760"/>
    <w:bookmarkStart w:id="94" w:name="_Toc57284469"/>
    <w:bookmarkStart w:id="95" w:name="_Toc57895618"/>
    <w:bookmarkStart w:id="96" w:name="_Toc58494285"/>
    <w:bookmarkStart w:id="97" w:name="_Toc59104486"/>
    <w:bookmarkStart w:id="98" w:name="_Toc60922245"/>
    <w:bookmarkStart w:id="99" w:name="_Toc61518213"/>
    <w:bookmarkStart w:id="100" w:name="_Toc62129056"/>
    <w:bookmarkStart w:id="101" w:name="_Toc62734935"/>
    <w:bookmarkStart w:id="102" w:name="_Toc63333210"/>
    <w:bookmarkStart w:id="103" w:name="_Toc65152047"/>
    <w:bookmarkStart w:id="104" w:name="_Toc65759398"/>
    <w:bookmarkStart w:id="105" w:name="_Toc66363537"/>
    <w:bookmarkStart w:id="106" w:name="_Toc66960044"/>
    <w:bookmarkStart w:id="107" w:name="_Toc67652141"/>
    <w:bookmarkStart w:id="108" w:name="_Toc68179917"/>
    <w:bookmarkStart w:id="109" w:name="_Toc68774144"/>
    <w:bookmarkStart w:id="110" w:name="_Toc69386909"/>
    <w:bookmarkStart w:id="111" w:name="_Toc69991765"/>
    <w:bookmarkStart w:id="112" w:name="_Toc70509838"/>
    <w:bookmarkStart w:id="113" w:name="_Toc71207391"/>
    <w:bookmarkStart w:id="114" w:name="_Toc71799301"/>
    <w:bookmarkStart w:id="115" w:name="_Toc72414970"/>
    <w:bookmarkStart w:id="116" w:name="_Toc73015451"/>
    <w:bookmarkStart w:id="117" w:name="_Toc73618175"/>
    <w:bookmarkStart w:id="118" w:name="_Toc74224508"/>
    <w:bookmarkStart w:id="119" w:name="_Toc74836027"/>
    <w:bookmarkStart w:id="120" w:name="_Toc75439620"/>
    <w:bookmarkStart w:id="121" w:name="_Toc76033386"/>
    <w:bookmarkStart w:id="122" w:name="_Toc76568181"/>
    <w:bookmarkStart w:id="123" w:name="_Toc77249819"/>
    <w:bookmarkStart w:id="124" w:name="_Toc77848115"/>
    <w:bookmarkStart w:id="125" w:name="_Toc78458398"/>
    <w:bookmarkStart w:id="126" w:name="_Toc79065734"/>
    <w:bookmarkStart w:id="127" w:name="_Toc79674824"/>
    <w:bookmarkStart w:id="128" w:name="_Toc80967350"/>
    <w:bookmarkStart w:id="129" w:name="_Toc82098800"/>
    <w:bookmarkStart w:id="130" w:name="_Toc82697201"/>
    <w:bookmarkStart w:id="131" w:name="_Toc83296665"/>
    <w:bookmarkStart w:id="132" w:name="_Toc83896624"/>
    <w:bookmarkStart w:id="133" w:name="_Toc84511067"/>
    <w:bookmarkStart w:id="134" w:name="_Toc85126352"/>
    <w:bookmarkStart w:id="135" w:name="_Toc85726059"/>
    <w:bookmarkStart w:id="136" w:name="_Toc86326946"/>
    <w:bookmarkStart w:id="137" w:name="_Toc86928719"/>
    <w:bookmarkStart w:id="138" w:name="_Toc87533861"/>
    <w:bookmarkStart w:id="139" w:name="_Toc88139972"/>
    <w:bookmarkStart w:id="140" w:name="_Toc88827420"/>
    <w:bookmarkStart w:id="141" w:name="_Toc89348593"/>
    <w:bookmarkStart w:id="142" w:name="_Toc89954355"/>
    <w:bookmarkStart w:id="143" w:name="_Toc90547126"/>
    <w:bookmarkStart w:id="144" w:name="_Toc91162874"/>
    <w:bookmarkStart w:id="145" w:name="_Toc92977888"/>
    <w:bookmarkStart w:id="146" w:name="_Toc93582831"/>
    <w:bookmarkStart w:id="147" w:name="_Toc94185873"/>
    <w:bookmarkStart w:id="148" w:name="_Toc124758938"/>
    <w:bookmarkStart w:id="149" w:name="_Toc126243195"/>
    <w:bookmarkStart w:id="150" w:name="_Toc126844370"/>
    <w:bookmarkStart w:id="151" w:name="_Toc127449232"/>
    <w:bookmarkStart w:id="152" w:name="_Toc128057341"/>
    <w:bookmarkStart w:id="153" w:name="_Toc128657894"/>
    <w:bookmarkStart w:id="154" w:name="_Toc129265040"/>
    <w:bookmarkStart w:id="155" w:name="_Toc129869282"/>
    <w:bookmarkStart w:id="156" w:name="_Toc130472586"/>
    <w:bookmarkStart w:id="157" w:name="_Toc131080425"/>
    <w:bookmarkStart w:id="158" w:name="_Toc131684258"/>
    <w:bookmarkStart w:id="159" w:name="_Toc132288734"/>
    <w:bookmarkStart w:id="160" w:name="_Toc132880391"/>
    <w:bookmarkStart w:id="161" w:name="_Toc133498209"/>
    <w:bookmarkStart w:id="162" w:name="_Toc134108005"/>
    <w:bookmarkStart w:id="163" w:name="_Toc134709543"/>
    <w:bookmarkStart w:id="164" w:name="_Toc134709694"/>
    <w:bookmarkStart w:id="165" w:name="_Toc135315967"/>
    <w:bookmarkStart w:id="166" w:name="_Toc135915557"/>
    <w:bookmarkStart w:id="167" w:name="_Toc136526485"/>
    <w:bookmarkStart w:id="168" w:name="_Toc137126045"/>
    <w:bookmarkStart w:id="169" w:name="_Toc137733670"/>
    <w:bookmarkStart w:id="170" w:name="_Toc138336636"/>
    <w:bookmarkStart w:id="171" w:name="_Toc138940620"/>
    <w:bookmarkStart w:id="172" w:name="_Toc139544017"/>
    <w:bookmarkStart w:id="173" w:name="_Toc140151828"/>
    <w:bookmarkStart w:id="174" w:name="_Toc140757903"/>
    <w:bookmarkStart w:id="175" w:name="_Toc141359482"/>
    <w:bookmarkStart w:id="176" w:name="_Toc141965594"/>
    <w:bookmarkStart w:id="177" w:name="_Toc142569943"/>
    <w:bookmarkStart w:id="178" w:name="_Toc143174996"/>
    <w:bookmarkStart w:id="179" w:name="_Toc143779698"/>
    <w:bookmarkStart w:id="180" w:name="_Toc144384324"/>
    <w:bookmarkStart w:id="181" w:name="_Toc144991137"/>
    <w:bookmarkStart w:id="182" w:name="_Toc145601267"/>
    <w:bookmarkStart w:id="183" w:name="_Toc146205286"/>
    <w:bookmarkStart w:id="184" w:name="_Toc146808595"/>
    <w:bookmarkStart w:id="185" w:name="_Toc147412051"/>
    <w:bookmarkStart w:id="186" w:name="_Toc148007936"/>
    <w:bookmarkStart w:id="187" w:name="_Toc148621865"/>
    <w:bookmarkStart w:id="188" w:name="_Toc149228676"/>
    <w:bookmarkStart w:id="189" w:name="_Toc149826950"/>
    <w:bookmarkStart w:id="190" w:name="_Toc150433295"/>
    <w:bookmarkStart w:id="191" w:name="_Toc151040593"/>
    <w:bookmarkStart w:id="192" w:name="_Toc151645171"/>
    <w:bookmarkStart w:id="193" w:name="_Toc152248760"/>
    <w:bookmarkStart w:id="194" w:name="_Toc153458078"/>
    <w:bookmarkStart w:id="195" w:name="_Toc154061699"/>
    <w:bookmarkStart w:id="196"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08037EAF" w14:textId="66A965BF" w:rsidR="00F962CB" w:rsidRDefault="00245E42" w:rsidP="003609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360994"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1BC13B8C" w14:textId="77777777" w:rsidR="000D1404" w:rsidRDefault="000D1404" w:rsidP="00360994">
      <w:pPr>
        <w:spacing w:line="288" w:lineRule="auto"/>
        <w:jc w:val="right"/>
        <w:rPr>
          <w:rStyle w:val="Hyperlink"/>
          <w:rFonts w:ascii="Aptos" w:eastAsia="Malgun Gothic" w:hAnsi="Aptos" w:cs="Times New Roman"/>
          <w:color w:val="002060"/>
        </w:rPr>
      </w:pPr>
    </w:p>
    <w:p w14:paraId="4FF03A99" w14:textId="77777777" w:rsidR="00175697" w:rsidRPr="000D1404" w:rsidRDefault="00175697" w:rsidP="000D140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97" w:name="_Toc216355047"/>
      <w:r w:rsidRPr="00175697">
        <w:rPr>
          <w:rFonts w:ascii="Aptos" w:eastAsia="Times New Roman" w:hAnsi="Aptos" w:cs="Times New Roman"/>
          <w:b/>
          <w:bCs/>
          <w:color w:val="002060"/>
          <w:kern w:val="36"/>
          <w:sz w:val="28"/>
          <w:szCs w:val="28"/>
        </w:rPr>
        <w:t>A pilot scheme for crypto asset market</w:t>
      </w:r>
      <w:bookmarkEnd w:id="197"/>
    </w:p>
    <w:p w14:paraId="16BF7BD8" w14:textId="6D41B80E" w:rsidR="000D1404" w:rsidRPr="00175697" w:rsidRDefault="000D1404" w:rsidP="000D1404">
      <w:pPr>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198" w:name="_Toc216355048"/>
      <w:r w:rsidRPr="000D1404">
        <w:rPr>
          <w:rFonts w:ascii="Aptos" w:eastAsia="Times New Roman" w:hAnsi="Aptos" w:cs="Times New Roman"/>
          <w:i/>
          <w:iCs/>
          <w:color w:val="002060"/>
          <w:kern w:val="36"/>
          <w:sz w:val="18"/>
          <w:szCs w:val="18"/>
        </w:rPr>
        <w:t>VET</w:t>
      </w:r>
      <w:bookmarkEnd w:id="198"/>
    </w:p>
    <w:p w14:paraId="2C776600" w14:textId="77777777" w:rsidR="00175697" w:rsidRPr="00175697" w:rsidRDefault="00175697" w:rsidP="000D1404">
      <w:pPr>
        <w:spacing w:after="100" w:afterAutospacing="1" w:line="288" w:lineRule="auto"/>
        <w:jc w:val="both"/>
        <w:outlineLvl w:val="1"/>
        <w:rPr>
          <w:rFonts w:ascii="Aptos" w:eastAsia="Times New Roman" w:hAnsi="Aptos" w:cs="Arial"/>
          <w:b/>
          <w:bCs/>
          <w:i/>
          <w:iCs/>
          <w:color w:val="002060"/>
        </w:rPr>
      </w:pPr>
      <w:bookmarkStart w:id="199" w:name="_Toc216355049"/>
      <w:r w:rsidRPr="00175697">
        <w:rPr>
          <w:rFonts w:ascii="Aptos" w:eastAsia="Times New Roman" w:hAnsi="Aptos" w:cs="Arial"/>
          <w:b/>
          <w:bCs/>
          <w:i/>
          <w:iCs/>
          <w:color w:val="002060"/>
        </w:rPr>
        <w:t>With crypto assets finding favor in the country, Vietnam is to conduct a pilot market program to determine actual potential.</w:t>
      </w:r>
      <w:bookmarkEnd w:id="199"/>
    </w:p>
    <w:p w14:paraId="7B90DF38" w14:textId="52F58C5A" w:rsidR="00175697" w:rsidRPr="00175697" w:rsidRDefault="00175697" w:rsidP="000D1404">
      <w:pPr>
        <w:spacing w:after="0" w:line="288" w:lineRule="auto"/>
        <w:jc w:val="both"/>
        <w:rPr>
          <w:rFonts w:ascii="Aptos" w:eastAsia="Times New Roman" w:hAnsi="Aptos" w:cs="Times New Roman"/>
          <w:color w:val="002060"/>
        </w:rPr>
      </w:pPr>
    </w:p>
    <w:p w14:paraId="7FD063A5"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Tech researchers </w:t>
      </w:r>
      <w:proofErr w:type="spellStart"/>
      <w:r w:rsidRPr="00175697">
        <w:rPr>
          <w:rFonts w:ascii="Aptos" w:eastAsia="Times New Roman" w:hAnsi="Aptos" w:cs="Arial"/>
          <w:color w:val="002060"/>
        </w:rPr>
        <w:t>Cointelegraph</w:t>
      </w:r>
      <w:proofErr w:type="spellEnd"/>
      <w:r w:rsidRPr="00175697">
        <w:rPr>
          <w:rFonts w:ascii="Aptos" w:eastAsia="Times New Roman" w:hAnsi="Aptos" w:cs="Arial"/>
          <w:color w:val="002060"/>
        </w:rPr>
        <w:t xml:space="preserve"> Research have put the global crypto asset market at more than $2.5 trillion in 2025, with Asia accounting for over 40 per cent of the total value. Within the region, Vietnam has emerged as one of the most dynamic </w:t>
      </w:r>
      <w:proofErr w:type="gramStart"/>
      <w:r w:rsidRPr="00175697">
        <w:rPr>
          <w:rFonts w:ascii="Aptos" w:eastAsia="Times New Roman" w:hAnsi="Aptos" w:cs="Arial"/>
          <w:color w:val="002060"/>
        </w:rPr>
        <w:t>markets, and</w:t>
      </w:r>
      <w:proofErr w:type="gramEnd"/>
      <w:r w:rsidRPr="00175697">
        <w:rPr>
          <w:rFonts w:ascii="Aptos" w:eastAsia="Times New Roman" w:hAnsi="Aptos" w:cs="Arial"/>
          <w:color w:val="002060"/>
        </w:rPr>
        <w:t xml:space="preserve"> will be piloting a crypto asset market to lay the groundwork for sustainable development. But despite its potential, the market faces challenges ranging from scams to unlicensed fundraising.</w:t>
      </w:r>
    </w:p>
    <w:p w14:paraId="788BBE54"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b/>
          <w:bCs/>
          <w:color w:val="002060"/>
        </w:rPr>
        <w:t>Between promise and peril</w:t>
      </w:r>
    </w:p>
    <w:p w14:paraId="2411936E"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Despite regulatory gaps, Vietnam continues to rank among the world’s Top 3 countries in crypto ownership, with an estimated 20-21 million people having invested in or traded digital assets, equivalent to about 21 per cent of the population.</w:t>
      </w:r>
    </w:p>
    <w:p w14:paraId="5151A0A0"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Yet behind this rapid growth lies significant risk. For years, the sector has operated in a legal “grey zone”, creating fertile ground for scams, illegal fundraising, and market manipulation. The collapse of the </w:t>
      </w:r>
      <w:proofErr w:type="spellStart"/>
      <w:r w:rsidRPr="00175697">
        <w:rPr>
          <w:rFonts w:ascii="Aptos" w:eastAsia="Times New Roman" w:hAnsi="Aptos" w:cs="Arial"/>
          <w:color w:val="002060"/>
        </w:rPr>
        <w:t>Antex</w:t>
      </w:r>
      <w:proofErr w:type="spellEnd"/>
      <w:r w:rsidRPr="00175697">
        <w:rPr>
          <w:rFonts w:ascii="Aptos" w:eastAsia="Times New Roman" w:hAnsi="Aptos" w:cs="Arial"/>
          <w:color w:val="002060"/>
        </w:rPr>
        <w:t xml:space="preserve"> project is a recent example. After attracting thousands of investors with promises of high returns, the project quickly unraveled, wiping </w:t>
      </w:r>
      <w:r w:rsidRPr="00175697">
        <w:rPr>
          <w:rFonts w:ascii="Aptos" w:eastAsia="Times New Roman" w:hAnsi="Aptos" w:cs="Arial"/>
          <w:color w:val="002060"/>
        </w:rPr>
        <w:lastRenderedPageBreak/>
        <w:t xml:space="preserve">out hundreds of billions of VND in investments. Earlier cases such as Ifan, </w:t>
      </w:r>
      <w:proofErr w:type="spellStart"/>
      <w:r w:rsidRPr="00175697">
        <w:rPr>
          <w:rFonts w:ascii="Aptos" w:eastAsia="Times New Roman" w:hAnsi="Aptos" w:cs="Arial"/>
          <w:color w:val="002060"/>
        </w:rPr>
        <w:t>Pincoin</w:t>
      </w:r>
      <w:proofErr w:type="spellEnd"/>
      <w:r w:rsidRPr="00175697">
        <w:rPr>
          <w:rFonts w:ascii="Aptos" w:eastAsia="Times New Roman" w:hAnsi="Aptos" w:cs="Arial"/>
          <w:color w:val="002060"/>
        </w:rPr>
        <w:t>, and Sky Mining similarly shocked the public with sophisticated scams.</w:t>
      </w:r>
    </w:p>
    <w:p w14:paraId="438C06C5"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According to the Department of Cybersecurity and High-Tech Crime Prevention at the Ministry of Public Security, authorities uncovered nearly 1,500 online fraud cases causing losses of more than </w:t>
      </w:r>
      <w:proofErr w:type="spellStart"/>
      <w:r w:rsidRPr="00175697">
        <w:rPr>
          <w:rFonts w:ascii="Aptos" w:eastAsia="Times New Roman" w:hAnsi="Aptos" w:cs="Arial"/>
          <w:color w:val="002060"/>
        </w:rPr>
        <w:t>VND1.66</w:t>
      </w:r>
      <w:proofErr w:type="spellEnd"/>
      <w:r w:rsidRPr="00175697">
        <w:rPr>
          <w:rFonts w:ascii="Aptos" w:eastAsia="Times New Roman" w:hAnsi="Aptos" w:cs="Arial"/>
          <w:color w:val="002060"/>
        </w:rPr>
        <w:t xml:space="preserve"> trillion ($64 million) in just the first ten months of 2025. A significant share involved crypto and digital asset schemes spread across more than 1,500 online groups and forums. The figures reflect both the market’s appeal and investors’ vulnerability amid ongoing legal uncertainty.</w:t>
      </w:r>
    </w:p>
    <w:p w14:paraId="6DEC9BF0"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While the sector’s potential remains vast, a great deal of capital from Vietnamese investors continues to flow into foreign exchanges; beyond State oversight and without contributing meaningfully to national revenue. This combination of regulatory risk and outbound capital has placed a heavy management burden on Vietnam, while much of the economic benefit goes overseas.</w:t>
      </w:r>
    </w:p>
    <w:p w14:paraId="2927475E"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Against this backdrop, the government’s Resolution No. 05/NQ-CP, which pilots a domestic crypto asset market, seeks to establish a legal framework for the emerging asset class. The policy aims not only to curb risks from underground trading but also to unlock new financial resources and enhance market transparency.</w:t>
      </w:r>
    </w:p>
    <w:p w14:paraId="62E99A51"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At the recent “Crypto Assets: From Grey Zone to Pilot Implementation - Solutions for Transparency, Safety, and Efficiency” online seminar, experts said Vietnam is pursuing a cautious path - encouraging innovation while managing risks - instead of imposing an outright ban or fully liberalizing the market, as seen in other countries.</w:t>
      </w:r>
    </w:p>
    <w:p w14:paraId="36D205F8"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Dr. Can Van Luc, Chief Economist at the Bank for Investment and Development of Vietnam (</w:t>
      </w:r>
      <w:proofErr w:type="spellStart"/>
      <w:r w:rsidRPr="00175697">
        <w:rPr>
          <w:rFonts w:ascii="Aptos" w:eastAsia="Times New Roman" w:hAnsi="Aptos" w:cs="Arial"/>
          <w:color w:val="002060"/>
        </w:rPr>
        <w:t>BIDV</w:t>
      </w:r>
      <w:proofErr w:type="spellEnd"/>
      <w:r w:rsidRPr="00175697">
        <w:rPr>
          <w:rFonts w:ascii="Aptos" w:eastAsia="Times New Roman" w:hAnsi="Aptos" w:cs="Arial"/>
          <w:color w:val="002060"/>
        </w:rPr>
        <w:t>), said the country is focusing on tokenized assets - a subset of digital assets - while steering clear of securities or central bank-issued digital currencies (</w:t>
      </w:r>
      <w:proofErr w:type="spellStart"/>
      <w:r w:rsidRPr="00175697">
        <w:rPr>
          <w:rFonts w:ascii="Aptos" w:eastAsia="Times New Roman" w:hAnsi="Aptos" w:cs="Arial"/>
          <w:color w:val="002060"/>
        </w:rPr>
        <w:t>CBDCs</w:t>
      </w:r>
      <w:proofErr w:type="spellEnd"/>
      <w:r w:rsidRPr="00175697">
        <w:rPr>
          <w:rFonts w:ascii="Aptos" w:eastAsia="Times New Roman" w:hAnsi="Aptos" w:cs="Arial"/>
          <w:color w:val="002060"/>
        </w:rPr>
        <w:t>). Oversight responsibilities are clearly divided - the Ministry of Finance (MoF) manages tokenized assets, and the State Bank of Vietnam (</w:t>
      </w:r>
      <w:proofErr w:type="spellStart"/>
      <w:r w:rsidRPr="00175697">
        <w:rPr>
          <w:rFonts w:ascii="Aptos" w:eastAsia="Times New Roman" w:hAnsi="Aptos" w:cs="Arial"/>
          <w:color w:val="002060"/>
        </w:rPr>
        <w:t>SBV</w:t>
      </w:r>
      <w:proofErr w:type="spellEnd"/>
      <w:r w:rsidRPr="00175697">
        <w:rPr>
          <w:rFonts w:ascii="Aptos" w:eastAsia="Times New Roman" w:hAnsi="Aptos" w:cs="Arial"/>
          <w:color w:val="002060"/>
        </w:rPr>
        <w:t>) oversees legal digital money. “This approach enables both innovation and control, allowing the market to grow sustainably without freezing investment flows,” Dr. Luc explained.</w:t>
      </w:r>
    </w:p>
    <w:p w14:paraId="323BCE31"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Meanwhile, Dr. Nguyen Tri Hieu, Director of the Institute for the Research and Development of Global Financial and Real Estate Markets, said the five-year pilot program under Resolution No. 05 represents a prudent and realistic approach. He added that the trial phase will allow regulators to build hands-on experience, refine oversight mechanisms, and reduce risks of fraud, money laundering, and terrorist financing as digital asset transactions surge globally.</w:t>
      </w:r>
    </w:p>
    <w:p w14:paraId="3B61F223"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Shaping a cautious frontier</w:t>
      </w:r>
    </w:p>
    <w:p w14:paraId="3792F55E"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Vietnam is developing a regulatory framework for its crypto asset market based on lessons from advanced economies such as Singapore, Japan, and Hong Kong (China). According to Mr. To Tran Hoa, Deputy Head of the Department of Market Development at the State Securities Commission (SSC), limiting the number of licensed organizations to five in the initial phase will help ensure effective oversight, maintain fair competition, and set the stage for a stronger regulatory foundation.</w:t>
      </w:r>
    </w:p>
    <w:p w14:paraId="1BDBEA06"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Internationally, markets like Singapore, Thailand, and the EU have adopted flexible approaches, creating “sandboxes” for innovation under controlled risk or recognizing crypto assets as key pillars of the digital economy. These examples show that regulation and innovation - a model Vietnam aims to follow - can coexist.</w:t>
      </w:r>
    </w:p>
    <w:p w14:paraId="5EAD979C"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lastRenderedPageBreak/>
        <w:t xml:space="preserve">Mr. Phan Duc Trung, Chairman of the Vietnam Blockchain Association, noted that while Vietnam lags behind in establishing a legal framework, close coordination between the </w:t>
      </w:r>
      <w:proofErr w:type="spellStart"/>
      <w:r w:rsidRPr="00175697">
        <w:rPr>
          <w:rFonts w:ascii="Aptos" w:eastAsia="Times New Roman" w:hAnsi="Aptos" w:cs="Arial"/>
          <w:color w:val="002060"/>
        </w:rPr>
        <w:t>SBV</w:t>
      </w:r>
      <w:proofErr w:type="spellEnd"/>
      <w:r w:rsidRPr="00175697">
        <w:rPr>
          <w:rFonts w:ascii="Aptos" w:eastAsia="Times New Roman" w:hAnsi="Aptos" w:cs="Arial"/>
          <w:color w:val="002060"/>
        </w:rPr>
        <w:t>, the SSC, the Ministry of Justice, and the MoF could help the country reach international standards within three years.</w:t>
      </w:r>
    </w:p>
    <w:p w14:paraId="449E14B0"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Resolution </w:t>
      </w:r>
      <w:proofErr w:type="spellStart"/>
      <w:r w:rsidRPr="00175697">
        <w:rPr>
          <w:rFonts w:ascii="Aptos" w:eastAsia="Times New Roman" w:hAnsi="Aptos" w:cs="Arial"/>
          <w:color w:val="002060"/>
        </w:rPr>
        <w:t>No.05</w:t>
      </w:r>
      <w:proofErr w:type="spellEnd"/>
      <w:r w:rsidRPr="00175697">
        <w:rPr>
          <w:rFonts w:ascii="Aptos" w:eastAsia="Times New Roman" w:hAnsi="Aptos" w:cs="Arial"/>
          <w:color w:val="002060"/>
        </w:rPr>
        <w:t xml:space="preserve"> adopts a cautious approach that seeks to balance growth with risk control. However, one notable limitation is that crypto asset issuance and offerings are currently restricted to foreign </w:t>
      </w:r>
      <w:proofErr w:type="gramStart"/>
      <w:r w:rsidRPr="00175697">
        <w:rPr>
          <w:rFonts w:ascii="Aptos" w:eastAsia="Times New Roman" w:hAnsi="Aptos" w:cs="Arial"/>
          <w:color w:val="002060"/>
        </w:rPr>
        <w:t>investors;</w:t>
      </w:r>
      <w:proofErr w:type="gramEnd"/>
      <w:r w:rsidRPr="00175697">
        <w:rPr>
          <w:rFonts w:ascii="Aptos" w:eastAsia="Times New Roman" w:hAnsi="Aptos" w:cs="Arial"/>
          <w:color w:val="002060"/>
        </w:rPr>
        <w:t xml:space="preserve"> a policy that contrasts with Vietnam’s growing domestic investor base and rising market interest. This raises concerns about whether such restrictions could hinder transparency and the market’s sustainable development.</w:t>
      </w:r>
    </w:p>
    <w:p w14:paraId="7F8C75AE"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Mr. Hoa emphasized that the market’s appeal lies not in opening too quickly but in product quality, liquidity, transparency, and security. While Vietnam reports some 21 million digital asset accounts, that figure is likely overstated since investors often hold multiple accounts. A bigger concern, he believes, is limited investor understanding.</w:t>
      </w:r>
    </w:p>
    <w:p w14:paraId="4A8B9AEF"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Dr. Luc said the market’s long-term success depends on gradually opening participation to qualified domestic professional investors. Such investors could be defined by securities experience or accredited training in digital assets, ensuring both safety and competency.</w:t>
      </w:r>
    </w:p>
    <w:p w14:paraId="68C38D13"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He added that a phased pilot program allowing domestic professional investors to participate, alongside finalizing rules for </w:t>
      </w:r>
      <w:proofErr w:type="spellStart"/>
      <w:r w:rsidRPr="00175697">
        <w:rPr>
          <w:rFonts w:ascii="Aptos" w:eastAsia="Times New Roman" w:hAnsi="Aptos" w:cs="Arial"/>
          <w:color w:val="002060"/>
        </w:rPr>
        <w:t>CBDCs</w:t>
      </w:r>
      <w:proofErr w:type="spellEnd"/>
      <w:r w:rsidRPr="00175697">
        <w:rPr>
          <w:rFonts w:ascii="Aptos" w:eastAsia="Times New Roman" w:hAnsi="Aptos" w:cs="Arial"/>
          <w:color w:val="002060"/>
        </w:rPr>
        <w:t>, tokenized securities, and data infrastructure, would create a foundation for long-term stability. Without tokenized securities, he warned, the market risks falling behind. Digital share issuances and trading, meanwhile, could open a more transparent, lower-risk, and accessible fundraising channel for smaller investors.</w:t>
      </w:r>
    </w:p>
    <w:p w14:paraId="31081255"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Building trust through transparency</w:t>
      </w:r>
    </w:p>
    <w:p w14:paraId="1DB40718"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Transparency is central to market regulation. Companies operating in the sector must fully disclose information, submit regular reports, and comply with rules on custody, issuance advisory, valuation, and cybersecurity. Dr. Hieu noted that the main challenge in piloting crypto assets is not technology but ensuring the identification, custody, and real-world value of underlying assets.</w:t>
      </w:r>
    </w:p>
    <w:p w14:paraId="1E80F0BF"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Even in real estate, with tangible assets, multiple </w:t>
      </w:r>
      <w:proofErr w:type="gramStart"/>
      <w:r w:rsidRPr="00175697">
        <w:rPr>
          <w:rFonts w:ascii="Aptos" w:eastAsia="Times New Roman" w:hAnsi="Aptos" w:cs="Arial"/>
          <w:color w:val="002060"/>
        </w:rPr>
        <w:t>collateralization</w:t>
      </w:r>
      <w:proofErr w:type="gramEnd"/>
      <w:r w:rsidRPr="00175697">
        <w:rPr>
          <w:rFonts w:ascii="Aptos" w:eastAsia="Times New Roman" w:hAnsi="Aptos" w:cs="Arial"/>
          <w:color w:val="002060"/>
        </w:rPr>
        <w:t xml:space="preserve"> still occurs. Meanwhile, Resolution No. 05 does not clarify oversight mechanisms, value assurance, or conversion ratios between physical and digital assets, leaving investors exposed.</w:t>
      </w:r>
    </w:p>
    <w:p w14:paraId="53A09EBC"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Vietnam currently lacks a robust system for asset appraisal and ownership insurance like those in advanced economies, where insurers verify ownership, usage rights, and potential disputes before banks release funds. This gap makes investor confidence fragile, particularly when tokenized assets’ real-world values remain unverified.</w:t>
      </w:r>
    </w:p>
    <w:p w14:paraId="53F679D9"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Dr. Hieu also warned that without transparent valuation mechanisms, the MoF could face major challenges, as crypto assets may be exploited for speculation or money laundering. Banks, with blockchain technology enabling full transaction traceability, are well-positioned to monitor these flows. He proposed routing all crypto transactions through the banking system as a mandatory checkpoint to prevent money laundering, speculation, and ensure transparency.</w:t>
      </w:r>
    </w:p>
    <w:p w14:paraId="31AD54B9"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As Vietnam develops digital currencies and derivative products, Mr. Trung added, the priority must remain on investor protection and risk control. Customers should be categorized by financial capacity and understanding, with </w:t>
      </w:r>
      <w:r w:rsidRPr="00175697">
        <w:rPr>
          <w:rFonts w:ascii="Aptos" w:eastAsia="Times New Roman" w:hAnsi="Aptos" w:cs="Arial"/>
          <w:color w:val="002060"/>
        </w:rPr>
        <w:lastRenderedPageBreak/>
        <w:t>corresponding management measures. Financial institutions should also guide investors in portfolio allocation, keeping high-risk products limited while emphasizing safer assets such as bonds. Sustainable market growth depends on balancing investor protection, market expansion, and anti-money laundering efforts.</w:t>
      </w:r>
    </w:p>
    <w:p w14:paraId="6197FD58"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Dr. Luc said effectively implementing Resolution No. 05 will require clearer guidance on classifying different types of crypto assets, an area still unresolved. “Digital assets today are highly diverse, from real estate, art, and copyrights to stocks, and each carries different risk levels,” he said. “Regulation must reflect that diversity rather than treating all assets the same.”</w:t>
      </w:r>
    </w:p>
    <w:p w14:paraId="1EDF0564" w14:textId="77777777" w:rsidR="00175697" w:rsidRPr="00175697" w:rsidRDefault="00175697" w:rsidP="000D1404">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b/>
          <w:bCs/>
          <w:color w:val="002060"/>
        </w:rPr>
        <w:t>Box</w:t>
      </w:r>
    </w:p>
    <w:p w14:paraId="1ECACBED" w14:textId="4CADFD0B" w:rsidR="003E0394" w:rsidRPr="000D1404" w:rsidRDefault="00175697" w:rsidP="000D1404">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175697">
        <w:rPr>
          <w:rFonts w:ascii="Aptos" w:eastAsia="Times New Roman" w:hAnsi="Aptos" w:cs="Arial"/>
          <w:color w:val="002060"/>
        </w:rPr>
        <w:t xml:space="preserve">Under Resolution No. 05/NQ-CP, Vietnam will pilot a crypto asset market for five years, allowing a maximum of five licensed exchange operators, to ensure effective oversight and prevent systemic risks. Participating companies must have minimum charter capital of </w:t>
      </w:r>
      <w:proofErr w:type="spellStart"/>
      <w:r w:rsidRPr="00175697">
        <w:rPr>
          <w:rFonts w:ascii="Aptos" w:eastAsia="Times New Roman" w:hAnsi="Aptos" w:cs="Arial"/>
          <w:color w:val="002060"/>
        </w:rPr>
        <w:t>VND10</w:t>
      </w:r>
      <w:proofErr w:type="spellEnd"/>
      <w:r w:rsidRPr="00175697">
        <w:rPr>
          <w:rFonts w:ascii="Aptos" w:eastAsia="Times New Roman" w:hAnsi="Aptos" w:cs="Arial"/>
          <w:color w:val="002060"/>
        </w:rPr>
        <w:t xml:space="preserve"> trillion ($385 million), with at least 65 per cent contributed by a minimum of two financial institutions such as banks, securities firms, investment funds, insurance companies, or technology enterprises. Foreign ownership is capped at 49 per cent, and technology infrastructure must meet </w:t>
      </w:r>
      <w:proofErr w:type="gramStart"/>
      <w:r w:rsidRPr="00175697">
        <w:rPr>
          <w:rFonts w:ascii="Aptos" w:eastAsia="Times New Roman" w:hAnsi="Aptos" w:cs="Arial"/>
          <w:color w:val="002060"/>
        </w:rPr>
        <w:t>Level-4</w:t>
      </w:r>
      <w:proofErr w:type="gramEnd"/>
      <w:r w:rsidRPr="00175697">
        <w:rPr>
          <w:rFonts w:ascii="Aptos" w:eastAsia="Times New Roman" w:hAnsi="Aptos" w:cs="Arial"/>
          <w:color w:val="002060"/>
        </w:rPr>
        <w:t xml:space="preserve"> security standards; the highest currently required for critical data systems.</w:t>
      </w:r>
    </w:p>
    <w:p w14:paraId="1A24873C" w14:textId="77777777" w:rsidR="003E0394" w:rsidRPr="004C6CBE" w:rsidRDefault="00FA642B"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00" w:name="_Toc186722691"/>
      <w:bookmarkStart w:id="201" w:name="_Toc187326017"/>
      <w:bookmarkStart w:id="202" w:name="_Toc187919317"/>
      <w:bookmarkStart w:id="203" w:name="_Toc188519309"/>
      <w:bookmarkStart w:id="204" w:name="_Toc189746399"/>
      <w:bookmarkStart w:id="205" w:name="_Toc190348424"/>
      <w:bookmarkStart w:id="206" w:name="_Toc190954008"/>
      <w:bookmarkStart w:id="207" w:name="_Toc191559693"/>
      <w:bookmarkStart w:id="208" w:name="_Toc192153145"/>
      <w:bookmarkStart w:id="209" w:name="_Toc192767030"/>
      <w:bookmarkStart w:id="210" w:name="_Toc193361537"/>
      <w:bookmarkStart w:id="211" w:name="_Toc193977729"/>
      <w:bookmarkStart w:id="212" w:name="_Toc194671393"/>
      <w:bookmarkStart w:id="213" w:name="_Toc195192224"/>
      <w:bookmarkStart w:id="214" w:name="_Toc195795569"/>
      <w:bookmarkStart w:id="215" w:name="_Toc196395797"/>
      <w:bookmarkStart w:id="216" w:name="_Toc197596758"/>
      <w:bookmarkStart w:id="217" w:name="_Toc198210641"/>
      <w:bookmarkStart w:id="218" w:name="_Toc198816026"/>
      <w:bookmarkStart w:id="219" w:name="_Toc199419424"/>
      <w:bookmarkStart w:id="220" w:name="_Toc200013593"/>
      <w:bookmarkStart w:id="221" w:name="_Toc200628572"/>
      <w:bookmarkStart w:id="222" w:name="_Toc201837355"/>
      <w:bookmarkStart w:id="223" w:name="_Toc202445690"/>
      <w:bookmarkStart w:id="224" w:name="_Toc203047555"/>
      <w:bookmarkStart w:id="225" w:name="_Toc203655860"/>
      <w:bookmarkStart w:id="226" w:name="_Toc204262797"/>
      <w:bookmarkStart w:id="227" w:name="_Toc204862956"/>
      <w:bookmarkStart w:id="228" w:name="_Toc205466583"/>
      <w:bookmarkStart w:id="229" w:name="_Toc206074502"/>
      <w:bookmarkStart w:id="230" w:name="_Toc207184395"/>
      <w:bookmarkStart w:id="231" w:name="_Toc207888598"/>
      <w:bookmarkStart w:id="232" w:name="_Toc208493622"/>
      <w:bookmarkStart w:id="233" w:name="_Toc208493700"/>
      <w:bookmarkStart w:id="234" w:name="_Toc209099445"/>
      <w:bookmarkStart w:id="235" w:name="_Toc209702674"/>
      <w:bookmarkStart w:id="236" w:name="_Toc210305238"/>
      <w:bookmarkStart w:id="237" w:name="_Toc210911914"/>
      <w:bookmarkStart w:id="238" w:name="_Toc210912006"/>
      <w:bookmarkStart w:id="239" w:name="_Toc211518239"/>
      <w:bookmarkStart w:id="240" w:name="_Toc212118919"/>
      <w:bookmarkStart w:id="241" w:name="_Toc212726912"/>
      <w:bookmarkStart w:id="242" w:name="_Toc213334249"/>
      <w:bookmarkStart w:id="243" w:name="_Toc213924599"/>
    </w:p>
    <w:p w14:paraId="5BEE464F" w14:textId="1272DA87" w:rsidR="00E277D4" w:rsidRDefault="00FE778B" w:rsidP="003B61BC">
      <w:pPr>
        <w:pStyle w:val="Heading1"/>
        <w:shd w:val="clear" w:color="auto" w:fill="FFFFFF"/>
        <w:spacing w:before="0" w:line="288" w:lineRule="atLeast"/>
        <w:rPr>
          <w:rFonts w:ascii="Aptos" w:eastAsia="Malgun Gothic" w:hAnsi="Aptos" w:cs="Times New Roman"/>
          <w:color w:val="002060"/>
        </w:rPr>
      </w:pPr>
      <w:bookmarkStart w:id="244" w:name="_Toc214539941"/>
      <w:bookmarkStart w:id="245" w:name="_Toc215144377"/>
      <w:bookmarkStart w:id="246" w:name="_Toc215750954"/>
      <w:bookmarkStart w:id="247" w:name="_Toc216355050"/>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48" w:name="_Toc372277036"/>
      <w:bookmarkStart w:id="249" w:name="_Toc372881662"/>
      <w:bookmarkStart w:id="250" w:name="_Toc373484630"/>
      <w:bookmarkStart w:id="251" w:name="_Toc374089641"/>
      <w:bookmarkStart w:id="252" w:name="_Toc374695753"/>
      <w:bookmarkStart w:id="253" w:name="_Toc375297865"/>
      <w:bookmarkStart w:id="254" w:name="_Toc375903285"/>
      <w:bookmarkStart w:id="255" w:name="_Toc376510600"/>
      <w:bookmarkStart w:id="256" w:name="_Toc377114107"/>
      <w:bookmarkStart w:id="257" w:name="_Toc377720877"/>
      <w:bookmarkStart w:id="258" w:name="_Toc378323090"/>
      <w:bookmarkStart w:id="259" w:name="_Toc379533627"/>
      <w:bookmarkStart w:id="260" w:name="_Toc380136921"/>
      <w:bookmarkStart w:id="261" w:name="_Toc380744470"/>
      <w:bookmarkStart w:id="262" w:name="_Toc381349390"/>
      <w:bookmarkStart w:id="263" w:name="_Toc381952740"/>
      <w:bookmarkStart w:id="264" w:name="_Toc382557146"/>
      <w:bookmarkStart w:id="265" w:name="_Toc383161642"/>
      <w:bookmarkStart w:id="266" w:name="_Toc383767069"/>
      <w:bookmarkStart w:id="267" w:name="_Toc384372106"/>
      <w:bookmarkStart w:id="268" w:name="_Toc384976538"/>
      <w:bookmarkStart w:id="269" w:name="_Toc385581149"/>
      <w:bookmarkStart w:id="270" w:name="_Toc386187311"/>
      <w:bookmarkStart w:id="271" w:name="_Toc387396227"/>
      <w:bookmarkStart w:id="272" w:name="_Toc388000659"/>
      <w:bookmarkStart w:id="273" w:name="_Toc388604987"/>
      <w:bookmarkStart w:id="274" w:name="_Toc389209518"/>
      <w:bookmarkStart w:id="275" w:name="_Toc389815749"/>
      <w:bookmarkStart w:id="276" w:name="_Toc390418758"/>
      <w:bookmarkStart w:id="277" w:name="_Toc391026118"/>
      <w:bookmarkStart w:id="278" w:name="_Toc392233738"/>
      <w:bookmarkStart w:id="279" w:name="_Toc392837336"/>
      <w:bookmarkStart w:id="280" w:name="_Toc394048499"/>
      <w:bookmarkStart w:id="281" w:name="_Toc394651767"/>
      <w:bookmarkStart w:id="282" w:name="_Toc395258652"/>
      <w:bookmarkStart w:id="283" w:name="_Toc395862292"/>
      <w:bookmarkStart w:id="284" w:name="_Toc396467104"/>
      <w:bookmarkStart w:id="285" w:name="_Toc397074774"/>
      <w:bookmarkStart w:id="286" w:name="_Toc397679397"/>
      <w:bookmarkStart w:id="287" w:name="_Toc398281793"/>
      <w:bookmarkStart w:id="288" w:name="_Toc398887280"/>
      <w:bookmarkStart w:id="289" w:name="_Toc399492492"/>
      <w:bookmarkStart w:id="290" w:name="_Toc400096557"/>
      <w:bookmarkStart w:id="291" w:name="_Toc400699355"/>
      <w:bookmarkStart w:id="292" w:name="_Toc401908571"/>
      <w:bookmarkStart w:id="293" w:name="_Toc402514113"/>
      <w:bookmarkStart w:id="294" w:name="_Toc403119468"/>
      <w:bookmarkStart w:id="295" w:name="_Toc403725573"/>
      <w:bookmarkStart w:id="296" w:name="_Toc404332237"/>
      <w:bookmarkStart w:id="297" w:name="_Toc404935397"/>
      <w:bookmarkStart w:id="298" w:name="_Toc405540230"/>
      <w:bookmarkStart w:id="299" w:name="_Toc406144907"/>
      <w:bookmarkStart w:id="300" w:name="_Toc406680256"/>
      <w:bookmarkStart w:id="301" w:name="_Toc407350896"/>
      <w:bookmarkStart w:id="302" w:name="_Toc408564576"/>
      <w:bookmarkStart w:id="303" w:name="_Toc409169007"/>
      <w:bookmarkStart w:id="304" w:name="_Toc409774757"/>
      <w:bookmarkStart w:id="305" w:name="_Toc410380506"/>
      <w:bookmarkStart w:id="306" w:name="_Toc410982170"/>
      <w:bookmarkStart w:id="307" w:name="_Toc411587715"/>
      <w:bookmarkStart w:id="308" w:name="_Toc412798936"/>
      <w:bookmarkStart w:id="309" w:name="_Toc413401078"/>
      <w:bookmarkStart w:id="310" w:name="_Toc414005850"/>
      <w:bookmarkStart w:id="311" w:name="_Toc415215509"/>
      <w:bookmarkStart w:id="312" w:name="_Toc415827057"/>
      <w:bookmarkStart w:id="313" w:name="_Toc416423737"/>
      <w:bookmarkStart w:id="314" w:name="_Toc417031184"/>
      <w:bookmarkStart w:id="315" w:name="_Toc417634610"/>
      <w:bookmarkStart w:id="316" w:name="_Toc418844126"/>
      <w:bookmarkStart w:id="317" w:name="_Toc419450432"/>
      <w:bookmarkStart w:id="318" w:name="_Toc420056735"/>
      <w:bookmarkStart w:id="319" w:name="_Toc420661557"/>
      <w:bookmarkStart w:id="320" w:name="_Toc421264723"/>
      <w:bookmarkStart w:id="321" w:name="_Toc421871471"/>
      <w:bookmarkStart w:id="322" w:name="_Toc422473458"/>
      <w:bookmarkStart w:id="323" w:name="_Toc423078376"/>
      <w:bookmarkStart w:id="324" w:name="_Toc423682216"/>
      <w:bookmarkStart w:id="325" w:name="_Toc424301013"/>
      <w:bookmarkStart w:id="326" w:name="_Toc424891971"/>
      <w:bookmarkStart w:id="327" w:name="_Toc425495589"/>
      <w:bookmarkStart w:id="328" w:name="_Toc426104624"/>
      <w:bookmarkStart w:id="329" w:name="_Toc426707573"/>
      <w:bookmarkStart w:id="330" w:name="_Toc427312143"/>
      <w:bookmarkStart w:id="331" w:name="_Toc427915952"/>
      <w:bookmarkStart w:id="332" w:name="_Toc428523125"/>
      <w:bookmarkStart w:id="333" w:name="_Toc429732374"/>
      <w:bookmarkStart w:id="334" w:name="_Toc430335764"/>
      <w:bookmarkStart w:id="335" w:name="_Toc430941475"/>
      <w:bookmarkStart w:id="336" w:name="_Toc431546386"/>
      <w:bookmarkStart w:id="337" w:name="_Toc432151519"/>
      <w:bookmarkStart w:id="338" w:name="_Toc432755903"/>
      <w:bookmarkStart w:id="339" w:name="_Toc433361375"/>
      <w:bookmarkStart w:id="340" w:name="_Toc433965274"/>
      <w:bookmarkStart w:id="341" w:name="_Toc434571313"/>
      <w:bookmarkStart w:id="342" w:name="_Toc435172620"/>
      <w:bookmarkStart w:id="343" w:name="_Toc435779446"/>
      <w:bookmarkStart w:id="344" w:name="_Toc436380886"/>
      <w:bookmarkStart w:id="345" w:name="_Toc436991375"/>
      <w:bookmarkStart w:id="346" w:name="_Toc437595397"/>
      <w:bookmarkStart w:id="347" w:name="_Toc440013651"/>
      <w:bookmarkStart w:id="348" w:name="_Toc440621863"/>
      <w:bookmarkStart w:id="349" w:name="_Toc441223773"/>
      <w:bookmarkStart w:id="350" w:name="_Toc441828297"/>
      <w:bookmarkStart w:id="351" w:name="_Toc441828392"/>
      <w:bookmarkStart w:id="352" w:name="_Toc442344474"/>
      <w:bookmarkStart w:id="353" w:name="_Toc443643405"/>
      <w:bookmarkStart w:id="354" w:name="_Toc444246117"/>
      <w:bookmarkStart w:id="355" w:name="_Toc444852040"/>
      <w:bookmarkStart w:id="356" w:name="_Toc445456100"/>
      <w:bookmarkStart w:id="357" w:name="_Toc445973466"/>
      <w:bookmarkStart w:id="358" w:name="_Toc446664819"/>
      <w:bookmarkStart w:id="359" w:name="_Toc447269370"/>
      <w:bookmarkStart w:id="360" w:name="_Toc447874146"/>
      <w:bookmarkStart w:id="361" w:name="_Toc448482075"/>
      <w:bookmarkStart w:id="362" w:name="_Toc449082184"/>
      <w:bookmarkStart w:id="363" w:name="_Toc449689087"/>
      <w:bookmarkStart w:id="364" w:name="_Toc450293025"/>
      <w:bookmarkStart w:id="365" w:name="_Toc450896937"/>
      <w:bookmarkStart w:id="366" w:name="_Toc452625636"/>
      <w:bookmarkStart w:id="367" w:name="_Toc453317631"/>
      <w:bookmarkStart w:id="368" w:name="_Toc453921135"/>
      <w:bookmarkStart w:id="369" w:name="_Toc454525839"/>
      <w:bookmarkStart w:id="370" w:name="_Toc455664215"/>
      <w:bookmarkStart w:id="371" w:name="_Toc456342930"/>
      <w:bookmarkStart w:id="372" w:name="_Toc456948587"/>
      <w:bookmarkStart w:id="373" w:name="_Toc457551647"/>
      <w:bookmarkStart w:id="374" w:name="_Toc458760434"/>
      <w:bookmarkStart w:id="375" w:name="_Toc459970957"/>
      <w:bookmarkStart w:id="376" w:name="_Toc460493834"/>
      <w:bookmarkStart w:id="377" w:name="_Toc461091254"/>
      <w:bookmarkStart w:id="378" w:name="_Toc461785959"/>
      <w:bookmarkStart w:id="379" w:name="_Toc462393212"/>
      <w:bookmarkStart w:id="380" w:name="_Toc462996387"/>
      <w:bookmarkStart w:id="381" w:name="_Toc463600469"/>
      <w:bookmarkStart w:id="382" w:name="_Toc464205355"/>
      <w:bookmarkStart w:id="383" w:name="_Toc464808167"/>
      <w:bookmarkStart w:id="384" w:name="_Toc465341587"/>
      <w:bookmarkStart w:id="385" w:name="_Toc466017253"/>
      <w:bookmarkStart w:id="386" w:name="_Toc466625781"/>
      <w:bookmarkStart w:id="387" w:name="_Toc467231583"/>
      <w:bookmarkStart w:id="388" w:name="_Toc467832923"/>
      <w:bookmarkStart w:id="389" w:name="_Toc468440608"/>
      <w:bookmarkStart w:id="390" w:name="_Toc469043511"/>
      <w:bookmarkStart w:id="391" w:name="_Toc469650540"/>
      <w:bookmarkStart w:id="392" w:name="_Toc472071552"/>
      <w:bookmarkStart w:id="393" w:name="_Toc472672618"/>
      <w:bookmarkStart w:id="394" w:name="_Toc473881014"/>
      <w:bookmarkStart w:id="395" w:name="_Toc474487611"/>
      <w:bookmarkStart w:id="396" w:name="_Toc475090266"/>
      <w:bookmarkStart w:id="397" w:name="_Toc475697891"/>
      <w:bookmarkStart w:id="398" w:name="_Toc476302017"/>
      <w:bookmarkStart w:id="399" w:name="_Toc476906658"/>
      <w:bookmarkStart w:id="400" w:name="_Toc477510747"/>
      <w:bookmarkStart w:id="401" w:name="_Toc478116119"/>
      <w:bookmarkStart w:id="402" w:name="_Toc478723293"/>
      <w:bookmarkStart w:id="403" w:name="_Toc479329710"/>
      <w:bookmarkStart w:id="404" w:name="_Toc479930325"/>
      <w:bookmarkStart w:id="405" w:name="_Toc480539769"/>
      <w:bookmarkStart w:id="406" w:name="_Toc481139996"/>
      <w:bookmarkStart w:id="407" w:name="_Toc482351755"/>
      <w:bookmarkStart w:id="408" w:name="_Toc482956632"/>
      <w:bookmarkStart w:id="409" w:name="_Toc484166265"/>
      <w:bookmarkStart w:id="410" w:name="_Toc484769034"/>
      <w:bookmarkStart w:id="411" w:name="_Toc485286963"/>
      <w:bookmarkStart w:id="412" w:name="_Toc485978047"/>
      <w:bookmarkStart w:id="413" w:name="_Toc486585200"/>
      <w:bookmarkStart w:id="414" w:name="_Toc487190849"/>
      <w:bookmarkStart w:id="415" w:name="_Toc487793128"/>
      <w:bookmarkStart w:id="416" w:name="_Toc488396105"/>
      <w:bookmarkStart w:id="417" w:name="_Toc489005356"/>
      <w:bookmarkStart w:id="418" w:name="_Toc489606922"/>
      <w:bookmarkStart w:id="419" w:name="_Toc490213904"/>
      <w:bookmarkStart w:id="420" w:name="_Toc490819129"/>
      <w:bookmarkStart w:id="421" w:name="_Toc491423492"/>
      <w:bookmarkStart w:id="422" w:name="_Toc492024941"/>
      <w:bookmarkStart w:id="423" w:name="_Toc492631836"/>
      <w:bookmarkStart w:id="424" w:name="_Toc493236264"/>
      <w:bookmarkStart w:id="425" w:name="_Toc493837670"/>
      <w:bookmarkStart w:id="426" w:name="_Toc495050076"/>
      <w:bookmarkStart w:id="427" w:name="_Toc495652582"/>
      <w:bookmarkStart w:id="428" w:name="_Toc496261433"/>
      <w:bookmarkStart w:id="429" w:name="_Toc496867228"/>
      <w:bookmarkStart w:id="430" w:name="_Toc497465791"/>
      <w:bookmarkStart w:id="431" w:name="_Toc498081893"/>
      <w:bookmarkStart w:id="432" w:name="_Toc498682150"/>
      <w:bookmarkStart w:id="433" w:name="_Toc499287549"/>
      <w:bookmarkStart w:id="434" w:name="_Toc499891990"/>
      <w:bookmarkStart w:id="435" w:name="_Toc500496789"/>
      <w:bookmarkStart w:id="436" w:name="_Toc501099734"/>
      <w:bookmarkStart w:id="437" w:name="_Toc501705017"/>
      <w:bookmarkStart w:id="438" w:name="_Toc532560719"/>
      <w:bookmarkStart w:id="439" w:name="_Toc533156844"/>
      <w:bookmarkStart w:id="440" w:name="_Toc533775399"/>
      <w:bookmarkStart w:id="441" w:name="_Toc534372207"/>
      <w:bookmarkStart w:id="442" w:name="_Toc534972008"/>
      <w:bookmarkStart w:id="443" w:name="_Toc535582780"/>
      <w:bookmarkStart w:id="444" w:name="_Toc536187102"/>
      <w:bookmarkStart w:id="445" w:name="_Toc536785388"/>
      <w:bookmarkStart w:id="446" w:name="_Toc1130208"/>
      <w:bookmarkStart w:id="447" w:name="_Toc1727979"/>
      <w:bookmarkStart w:id="448" w:name="_Toc2333094"/>
      <w:bookmarkStart w:id="449" w:name="_Toc2937884"/>
      <w:bookmarkStart w:id="450" w:name="_Toc3543094"/>
      <w:bookmarkStart w:id="451" w:name="_Toc4146388"/>
      <w:bookmarkStart w:id="452" w:name="_Toc4758756"/>
      <w:bookmarkStart w:id="453" w:name="_Toc5357724"/>
      <w:bookmarkStart w:id="454" w:name="_Toc5961962"/>
      <w:bookmarkStart w:id="455" w:name="_Toc6565236"/>
      <w:bookmarkStart w:id="456" w:name="_Toc7172941"/>
      <w:bookmarkStart w:id="457" w:name="_Toc7776782"/>
      <w:bookmarkStart w:id="458" w:name="_Toc8385532"/>
      <w:bookmarkStart w:id="459" w:name="_Toc8986688"/>
      <w:bookmarkStart w:id="460" w:name="_Toc9591439"/>
      <w:bookmarkStart w:id="461" w:name="_Toc10800776"/>
      <w:bookmarkStart w:id="462" w:name="_Toc11403497"/>
      <w:bookmarkStart w:id="463" w:name="_Toc12010882"/>
      <w:bookmarkStart w:id="464" w:name="_Toc12614882"/>
      <w:bookmarkStart w:id="465" w:name="_Toc13219381"/>
      <w:bookmarkStart w:id="466" w:name="_Toc13830731"/>
      <w:bookmarkStart w:id="467" w:name="_Toc14429410"/>
      <w:bookmarkStart w:id="468" w:name="_Toc15034919"/>
      <w:bookmarkStart w:id="469" w:name="_Toc15638234"/>
      <w:bookmarkStart w:id="470" w:name="_Toc16243813"/>
      <w:bookmarkStart w:id="471" w:name="_Toc17453989"/>
      <w:bookmarkStart w:id="472" w:name="_Toc18058957"/>
      <w:bookmarkStart w:id="473" w:name="_Toc18664185"/>
      <w:bookmarkStart w:id="474" w:name="_Toc19268589"/>
      <w:bookmarkStart w:id="475" w:name="_Toc19868194"/>
      <w:bookmarkStart w:id="476" w:name="_Toc20476476"/>
      <w:bookmarkStart w:id="477" w:name="_Toc21082712"/>
      <w:bookmarkStart w:id="478" w:name="_Toc21596842"/>
      <w:bookmarkStart w:id="479" w:name="_Toc22292243"/>
      <w:bookmarkStart w:id="480" w:name="_Toc22902068"/>
      <w:bookmarkStart w:id="481" w:name="_Toc23500781"/>
      <w:bookmarkStart w:id="482" w:name="_Toc24106263"/>
      <w:bookmarkStart w:id="483" w:name="_Toc24708409"/>
      <w:bookmarkStart w:id="484" w:name="_Toc25235410"/>
      <w:bookmarkStart w:id="485" w:name="_Toc25920237"/>
      <w:bookmarkStart w:id="486" w:name="_Toc26524512"/>
      <w:bookmarkStart w:id="487" w:name="_Toc27130353"/>
      <w:bookmarkStart w:id="488" w:name="_Toc28949352"/>
      <w:bookmarkStart w:id="489" w:name="_Toc29553156"/>
      <w:bookmarkStart w:id="490" w:name="_Toc31365279"/>
      <w:bookmarkStart w:id="491" w:name="_Toc31968685"/>
      <w:bookmarkStart w:id="492" w:name="_Toc33177775"/>
      <w:bookmarkStart w:id="493" w:name="_Toc33784200"/>
      <w:bookmarkStart w:id="494" w:name="_Toc34387335"/>
      <w:bookmarkStart w:id="495" w:name="_Toc34992445"/>
      <w:bookmarkStart w:id="496" w:name="_Toc36200892"/>
      <w:bookmarkStart w:id="497" w:name="_Toc36804861"/>
      <w:bookmarkStart w:id="498" w:name="_Toc37412094"/>
      <w:bookmarkStart w:id="499" w:name="_Toc38016888"/>
      <w:bookmarkStart w:id="500" w:name="_Toc38623239"/>
      <w:bookmarkStart w:id="501" w:name="_Toc47007107"/>
      <w:bookmarkStart w:id="502" w:name="_Toc47608050"/>
      <w:bookmarkStart w:id="503" w:name="_Toc48219506"/>
      <w:bookmarkStart w:id="504" w:name="_Toc48816707"/>
      <w:bookmarkStart w:id="505" w:name="_Toc49427952"/>
      <w:bookmarkStart w:id="506" w:name="_Toc50027099"/>
      <w:bookmarkStart w:id="507" w:name="_Toc50638510"/>
      <w:bookmarkStart w:id="508" w:name="_Toc51235700"/>
      <w:bookmarkStart w:id="509" w:name="_Toc51848402"/>
      <w:bookmarkStart w:id="510" w:name="_Toc52453551"/>
      <w:bookmarkStart w:id="511" w:name="_Toc53055803"/>
      <w:bookmarkStart w:id="512" w:name="_Toc53660724"/>
      <w:bookmarkStart w:id="513" w:name="_Toc54259223"/>
      <w:bookmarkStart w:id="514" w:name="_Toc54865636"/>
      <w:bookmarkStart w:id="515" w:name="_Toc55477667"/>
      <w:bookmarkStart w:id="516" w:name="_Toc56073555"/>
      <w:bookmarkStart w:id="517" w:name="_Toc56678763"/>
      <w:bookmarkStart w:id="518" w:name="_Toc57284472"/>
      <w:bookmarkStart w:id="519" w:name="_Toc57895622"/>
      <w:bookmarkStart w:id="520" w:name="_Toc58494288"/>
      <w:bookmarkStart w:id="521" w:name="_Toc59104490"/>
      <w:bookmarkStart w:id="522" w:name="_Toc60922248"/>
      <w:bookmarkStart w:id="523" w:name="_Toc61518216"/>
      <w:bookmarkStart w:id="524" w:name="_Toc62129059"/>
      <w:bookmarkStart w:id="525" w:name="_Toc62734938"/>
      <w:bookmarkStart w:id="526" w:name="_Toc63333213"/>
      <w:bookmarkStart w:id="527" w:name="_Toc65152050"/>
      <w:bookmarkStart w:id="528" w:name="_Toc65759402"/>
      <w:bookmarkStart w:id="529" w:name="_Toc66363540"/>
      <w:bookmarkStart w:id="530" w:name="_Toc66960047"/>
      <w:bookmarkStart w:id="531" w:name="_Toc67652144"/>
      <w:bookmarkStart w:id="532" w:name="_Toc68179920"/>
      <w:bookmarkStart w:id="533" w:name="_Toc68774147"/>
      <w:bookmarkStart w:id="534" w:name="_Toc69386915"/>
      <w:bookmarkStart w:id="535" w:name="_Toc69991769"/>
      <w:bookmarkStart w:id="536" w:name="_Toc70509841"/>
      <w:bookmarkStart w:id="537" w:name="_Toc71207395"/>
      <w:bookmarkStart w:id="538" w:name="_Toc71799306"/>
      <w:bookmarkStart w:id="539" w:name="_Toc72414975"/>
      <w:bookmarkStart w:id="540" w:name="_Toc73015454"/>
      <w:bookmarkStart w:id="541" w:name="_Toc73618178"/>
      <w:bookmarkStart w:id="542" w:name="_Toc74224512"/>
      <w:bookmarkStart w:id="543" w:name="_Toc74836030"/>
      <w:bookmarkStart w:id="544" w:name="_Toc75439623"/>
      <w:bookmarkStart w:id="545" w:name="_Toc76033389"/>
      <w:bookmarkStart w:id="546" w:name="_Toc76568184"/>
      <w:bookmarkStart w:id="547" w:name="_Toc77249823"/>
      <w:bookmarkStart w:id="548" w:name="_Toc77848118"/>
      <w:bookmarkStart w:id="549" w:name="_Toc78458401"/>
      <w:bookmarkStart w:id="550" w:name="_Toc79065737"/>
      <w:bookmarkStart w:id="551" w:name="_Toc79674827"/>
      <w:bookmarkStart w:id="552" w:name="_Toc80967353"/>
      <w:bookmarkStart w:id="553" w:name="_Toc82098803"/>
      <w:bookmarkStart w:id="554" w:name="_Toc82697204"/>
      <w:bookmarkStart w:id="555" w:name="_Toc83296668"/>
      <w:bookmarkStart w:id="556" w:name="_Toc83896627"/>
      <w:bookmarkStart w:id="557" w:name="_Toc84511070"/>
      <w:bookmarkStart w:id="558" w:name="_Toc85126355"/>
      <w:bookmarkStart w:id="559" w:name="_Toc85726062"/>
      <w:bookmarkStart w:id="560" w:name="_Toc86326951"/>
      <w:bookmarkStart w:id="561" w:name="_Toc86928725"/>
      <w:bookmarkStart w:id="562" w:name="_Toc87533864"/>
      <w:bookmarkStart w:id="563" w:name="_Toc88139975"/>
      <w:bookmarkStart w:id="564" w:name="_Toc88827424"/>
      <w:bookmarkStart w:id="565" w:name="_Toc89348597"/>
      <w:bookmarkStart w:id="566" w:name="_Toc89954358"/>
      <w:bookmarkStart w:id="567" w:name="_Toc90547129"/>
      <w:bookmarkStart w:id="568" w:name="_Toc91162877"/>
      <w:bookmarkStart w:id="569" w:name="_Toc92977891"/>
      <w:bookmarkStart w:id="570" w:name="_Toc93582834"/>
      <w:bookmarkStart w:id="571" w:name="_Toc94185876"/>
      <w:bookmarkStart w:id="572" w:name="_Toc124758941"/>
      <w:bookmarkStart w:id="573" w:name="_Toc126243198"/>
      <w:bookmarkStart w:id="574" w:name="_Toc126844373"/>
      <w:bookmarkStart w:id="575" w:name="_Toc127449235"/>
      <w:bookmarkStart w:id="576" w:name="_Toc128057345"/>
      <w:bookmarkStart w:id="577" w:name="_Toc128657897"/>
      <w:bookmarkStart w:id="578" w:name="_Toc129265043"/>
      <w:bookmarkStart w:id="579" w:name="_Toc129869285"/>
      <w:bookmarkStart w:id="580" w:name="_Toc130472589"/>
      <w:bookmarkStart w:id="581" w:name="_Toc131080428"/>
      <w:bookmarkStart w:id="582" w:name="_Toc131684261"/>
      <w:bookmarkStart w:id="583" w:name="_Toc132288737"/>
      <w:bookmarkStart w:id="584" w:name="_Toc132880394"/>
      <w:bookmarkStart w:id="585" w:name="_Toc133498212"/>
      <w:bookmarkStart w:id="586" w:name="_Toc134108008"/>
      <w:bookmarkStart w:id="587" w:name="_Toc134709546"/>
      <w:bookmarkStart w:id="588" w:name="_Toc134709697"/>
      <w:bookmarkStart w:id="589" w:name="_Toc135315971"/>
      <w:bookmarkStart w:id="590" w:name="_Toc135915560"/>
      <w:bookmarkStart w:id="591" w:name="_Toc136526488"/>
      <w:bookmarkStart w:id="592" w:name="_Toc137126048"/>
      <w:bookmarkStart w:id="593" w:name="_Toc137733673"/>
      <w:bookmarkStart w:id="594" w:name="_Toc138336639"/>
      <w:bookmarkStart w:id="595" w:name="_Toc138940624"/>
      <w:bookmarkStart w:id="596" w:name="_Toc139544020"/>
      <w:bookmarkStart w:id="597" w:name="_Toc140151831"/>
      <w:bookmarkStart w:id="598" w:name="_Toc140757908"/>
      <w:bookmarkStart w:id="599" w:name="_Toc141359485"/>
      <w:bookmarkStart w:id="600" w:name="_Toc141965597"/>
      <w:bookmarkStart w:id="601" w:name="_Toc142569946"/>
      <w:bookmarkStart w:id="602" w:name="_Toc143175000"/>
      <w:bookmarkStart w:id="603" w:name="_Toc143779701"/>
      <w:bookmarkStart w:id="604" w:name="_Toc144384328"/>
      <w:bookmarkStart w:id="605" w:name="_Toc144991140"/>
      <w:bookmarkStart w:id="606" w:name="_Toc145601270"/>
      <w:bookmarkStart w:id="607" w:name="_Toc146205291"/>
      <w:bookmarkStart w:id="608" w:name="_Toc146808598"/>
      <w:bookmarkStart w:id="609" w:name="_Toc147412055"/>
      <w:bookmarkStart w:id="610" w:name="_Toc148007939"/>
      <w:bookmarkStart w:id="611" w:name="_Toc148621870"/>
      <w:bookmarkStart w:id="612" w:name="_Toc149228680"/>
      <w:bookmarkStart w:id="613" w:name="_Toc149826953"/>
      <w:bookmarkStart w:id="614" w:name="_Toc150433299"/>
      <w:bookmarkStart w:id="615" w:name="_Toc151040597"/>
      <w:bookmarkStart w:id="616" w:name="_Toc151645174"/>
      <w:bookmarkStart w:id="617" w:name="_Toc152248763"/>
      <w:bookmarkStart w:id="618" w:name="_Toc153458086"/>
      <w:bookmarkStart w:id="619" w:name="_Toc154061703"/>
      <w:bookmarkStart w:id="620" w:name="_Toc185497336"/>
      <w:bookmarkStart w:id="621" w:name="_Toc186722696"/>
      <w:bookmarkStart w:id="622" w:name="_Toc187326020"/>
      <w:bookmarkStart w:id="623" w:name="_Toc187919320"/>
      <w:bookmarkStart w:id="624" w:name="_Toc188519313"/>
      <w:bookmarkStart w:id="625" w:name="_Toc189746404"/>
      <w:bookmarkStart w:id="626" w:name="_Toc190348428"/>
      <w:bookmarkStart w:id="627" w:name="_Toc190954013"/>
      <w:bookmarkStart w:id="628" w:name="_Toc191559698"/>
      <w:bookmarkStart w:id="629" w:name="_Toc192153149"/>
      <w:bookmarkEnd w:id="1"/>
      <w:bookmarkEnd w:id="2"/>
      <w:bookmarkEnd w:id="3"/>
      <w:bookmarkEnd w:id="4"/>
      <w:bookmarkEnd w:id="14"/>
      <w:bookmarkEnd w:id="15"/>
      <w:bookmarkEnd w:id="16"/>
      <w:bookmarkEnd w:id="17"/>
      <w:bookmarkEnd w:id="18"/>
      <w:bookmarkEnd w:id="19"/>
      <w:bookmarkEnd w:id="20"/>
      <w:bookmarkEnd w:id="21"/>
      <w:bookmarkEnd w:id="22"/>
      <w:bookmarkEnd w:id="2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BD31F83" w14:textId="77777777" w:rsidR="009A0DD9" w:rsidRPr="009A0DD9" w:rsidRDefault="009A0DD9" w:rsidP="009A0DD9"/>
    <w:p w14:paraId="0EB1755F" w14:textId="77777777" w:rsidR="00F675E0" w:rsidRDefault="00F675E0" w:rsidP="00F675E0">
      <w:pPr>
        <w:spacing w:after="150" w:line="288" w:lineRule="auto"/>
        <w:jc w:val="both"/>
        <w:outlineLvl w:val="0"/>
        <w:rPr>
          <w:rFonts w:ascii="Aptos" w:eastAsia="Times New Roman" w:hAnsi="Aptos" w:cs="Times New Roman"/>
          <w:color w:val="002060"/>
          <w:kern w:val="36"/>
        </w:rPr>
      </w:pPr>
    </w:p>
    <w:p w14:paraId="141B4B2F" w14:textId="6A49077F" w:rsidR="00F675E0" w:rsidRPr="00F675E0" w:rsidRDefault="00F675E0" w:rsidP="00F675E0">
      <w:pPr>
        <w:spacing w:after="150" w:line="288" w:lineRule="auto"/>
        <w:jc w:val="both"/>
        <w:outlineLvl w:val="0"/>
        <w:rPr>
          <w:rFonts w:ascii="Aptos" w:eastAsia="Times New Roman" w:hAnsi="Aptos" w:cs="Times New Roman"/>
          <w:b/>
          <w:bCs/>
          <w:color w:val="002060"/>
          <w:kern w:val="36"/>
          <w:sz w:val="24"/>
          <w:szCs w:val="24"/>
        </w:rPr>
      </w:pPr>
      <w:bookmarkStart w:id="630" w:name="_Toc216355051"/>
      <w:r w:rsidRPr="00F675E0">
        <w:rPr>
          <w:rFonts w:ascii="Aptos" w:eastAsia="Times New Roman" w:hAnsi="Aptos" w:cs="Times New Roman"/>
          <w:b/>
          <w:bCs/>
          <w:color w:val="002060"/>
          <w:kern w:val="36"/>
          <w:sz w:val="24"/>
          <w:szCs w:val="24"/>
        </w:rPr>
        <w:t>Aquatic exports poised to set new record in 2025</w:t>
      </w:r>
      <w:bookmarkEnd w:id="630"/>
    </w:p>
    <w:p w14:paraId="1A533ECE" w14:textId="545B7F7E" w:rsidR="00F675E0" w:rsidRDefault="00F675E0" w:rsidP="00F675E0">
      <w:pPr>
        <w:spacing w:line="288" w:lineRule="auto"/>
        <w:jc w:val="both"/>
        <w:rPr>
          <w:rFonts w:ascii="Aptos" w:eastAsia="Times New Roman" w:hAnsi="Aptos" w:cs="Times New Roman"/>
          <w:i/>
          <w:iCs/>
          <w:color w:val="002060"/>
          <w:sz w:val="18"/>
          <w:szCs w:val="18"/>
        </w:rPr>
      </w:pPr>
      <w:proofErr w:type="spellStart"/>
      <w:r w:rsidRPr="00F675E0">
        <w:rPr>
          <w:rFonts w:ascii="Aptos" w:eastAsia="Times New Roman" w:hAnsi="Aptos" w:cs="Times New Roman"/>
          <w:i/>
          <w:iCs/>
          <w:color w:val="002060"/>
          <w:sz w:val="18"/>
          <w:szCs w:val="18"/>
        </w:rPr>
        <w:t>VNA</w:t>
      </w:r>
      <w:proofErr w:type="spellEnd"/>
      <w:r w:rsidRPr="00F675E0">
        <w:rPr>
          <w:rFonts w:ascii="Aptos" w:eastAsia="Times New Roman" w:hAnsi="Aptos" w:cs="Times New Roman"/>
          <w:i/>
          <w:iCs/>
          <w:color w:val="002060"/>
          <w:sz w:val="18"/>
          <w:szCs w:val="18"/>
        </w:rPr>
        <w:t>/VNS</w:t>
      </w:r>
      <w:r w:rsidRPr="00F675E0">
        <w:rPr>
          <w:rFonts w:ascii="Aptos" w:eastAsia="Times New Roman" w:hAnsi="Aptos" w:cs="Times New Roman"/>
          <w:i/>
          <w:iCs/>
          <w:color w:val="002060"/>
          <w:sz w:val="18"/>
          <w:szCs w:val="18"/>
        </w:rPr>
        <w:t xml:space="preserve"> </w:t>
      </w:r>
    </w:p>
    <w:p w14:paraId="4BEC02EB" w14:textId="77777777" w:rsidR="00F675E0" w:rsidRPr="00F675E0" w:rsidRDefault="00F675E0" w:rsidP="00F675E0">
      <w:pPr>
        <w:spacing w:line="288" w:lineRule="auto"/>
        <w:jc w:val="both"/>
        <w:rPr>
          <w:rFonts w:ascii="Aptos" w:eastAsia="Times New Roman" w:hAnsi="Aptos" w:cs="Times New Roman"/>
          <w:i/>
          <w:iCs/>
          <w:color w:val="002060"/>
          <w:sz w:val="18"/>
          <w:szCs w:val="18"/>
        </w:rPr>
      </w:pPr>
    </w:p>
    <w:p w14:paraId="471A9BB1" w14:textId="3BC54776" w:rsidR="00F675E0" w:rsidRPr="00F675E0" w:rsidRDefault="00F675E0" w:rsidP="00F675E0">
      <w:pPr>
        <w:spacing w:line="288" w:lineRule="auto"/>
        <w:jc w:val="both"/>
        <w:rPr>
          <w:rFonts w:ascii="Aptos" w:eastAsia="Times New Roman" w:hAnsi="Aptos" w:cs="Times New Roman"/>
          <w:color w:val="002060"/>
        </w:rPr>
      </w:pPr>
      <w:proofErr w:type="spellStart"/>
      <w:r w:rsidRPr="00F675E0">
        <w:rPr>
          <w:rFonts w:ascii="Aptos" w:eastAsia="Times New Roman" w:hAnsi="Aptos" w:cs="Times New Roman"/>
          <w:color w:val="002060"/>
        </w:rPr>
        <w:t>Việt</w:t>
      </w:r>
      <w:proofErr w:type="spellEnd"/>
      <w:r w:rsidRPr="00F675E0">
        <w:rPr>
          <w:rFonts w:ascii="Aptos" w:eastAsia="Times New Roman" w:hAnsi="Aptos" w:cs="Times New Roman"/>
          <w:color w:val="002060"/>
        </w:rPr>
        <w:t xml:space="preserve"> Nam’s seafood exports are likely to set a new record this year, reaching around </w:t>
      </w:r>
      <w:proofErr w:type="spellStart"/>
      <w:r w:rsidRPr="00F675E0">
        <w:rPr>
          <w:rFonts w:ascii="Aptos" w:eastAsia="Times New Roman" w:hAnsi="Aptos" w:cs="Times New Roman"/>
          <w:color w:val="002060"/>
        </w:rPr>
        <w:t>US$11.2</w:t>
      </w:r>
      <w:proofErr w:type="spellEnd"/>
      <w:r w:rsidRPr="00F675E0">
        <w:rPr>
          <w:rFonts w:ascii="Aptos" w:eastAsia="Times New Roman" w:hAnsi="Aptos" w:cs="Times New Roman"/>
          <w:color w:val="002060"/>
        </w:rPr>
        <w:t>-$11.3 billion – the highest level to date.</w:t>
      </w:r>
    </w:p>
    <w:p w14:paraId="2D00AB1E" w14:textId="77777777" w:rsidR="00F675E0" w:rsidRDefault="00F675E0" w:rsidP="00F675E0">
      <w:pPr>
        <w:spacing w:after="0" w:line="288" w:lineRule="auto"/>
        <w:jc w:val="both"/>
        <w:rPr>
          <w:rFonts w:ascii="Aptos" w:eastAsia="Times New Roman" w:hAnsi="Aptos" w:cs="Segoe UI"/>
          <w:color w:val="002060"/>
        </w:rPr>
      </w:pPr>
      <w:r w:rsidRPr="00F675E0">
        <w:rPr>
          <w:rFonts w:ascii="Aptos" w:eastAsia="Times New Roman" w:hAnsi="Aptos" w:cs="Segoe UI"/>
          <w:color w:val="002060"/>
        </w:rPr>
        <w:t xml:space="preserve">Despite facing a range of challenges,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Nam’s aquatic exports have maintained a stable growth trajectory and are expected to hit a new turnover record this year.</w:t>
      </w:r>
    </w:p>
    <w:p w14:paraId="4B3F797E" w14:textId="77777777" w:rsidR="00F675E0" w:rsidRDefault="00F675E0" w:rsidP="00F675E0">
      <w:pPr>
        <w:spacing w:after="0" w:line="288" w:lineRule="auto"/>
        <w:jc w:val="both"/>
        <w:rPr>
          <w:rFonts w:ascii="Aptos" w:eastAsia="Times New Roman" w:hAnsi="Aptos" w:cs="Segoe UI"/>
          <w:color w:val="002060"/>
        </w:rPr>
      </w:pPr>
    </w:p>
    <w:p w14:paraId="7E3A6A01" w14:textId="72A7DE1B" w:rsidR="00F675E0" w:rsidRDefault="00F675E0" w:rsidP="00F675E0">
      <w:pPr>
        <w:spacing w:after="0" w:line="288" w:lineRule="auto"/>
        <w:jc w:val="both"/>
        <w:rPr>
          <w:rFonts w:ascii="Aptos" w:eastAsia="Times New Roman" w:hAnsi="Aptos" w:cs="Segoe UI"/>
          <w:color w:val="002060"/>
        </w:rPr>
      </w:pPr>
      <w:r w:rsidRPr="00F675E0">
        <w:rPr>
          <w:rFonts w:ascii="Aptos" w:eastAsia="Times New Roman" w:hAnsi="Aptos" w:cs="Segoe UI"/>
          <w:color w:val="002060"/>
        </w:rPr>
        <w:t xml:space="preserve">According to the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 Association of Seafood Exporters and Producers (</w:t>
      </w:r>
      <w:proofErr w:type="spellStart"/>
      <w:r w:rsidRPr="00F675E0">
        <w:rPr>
          <w:rFonts w:ascii="Aptos" w:eastAsia="Times New Roman" w:hAnsi="Aptos" w:cs="Segoe UI"/>
          <w:color w:val="002060"/>
        </w:rPr>
        <w:t>VASEP</w:t>
      </w:r>
      <w:proofErr w:type="spellEnd"/>
      <w:r w:rsidRPr="00F675E0">
        <w:rPr>
          <w:rFonts w:ascii="Aptos" w:eastAsia="Times New Roman" w:hAnsi="Aptos" w:cs="Segoe UI"/>
          <w:color w:val="002060"/>
        </w:rPr>
        <w:t xml:space="preserve">), seafood products were sold overseas for more than $10.5 billion in the first 11 months, up 14.6 per cent year-on-year. Shrimp exports generated $4.31 billion, a year-on-year rise of 21.2 per cent, remaining the key growth driver; </w:t>
      </w:r>
      <w:proofErr w:type="spellStart"/>
      <w:r w:rsidRPr="00F675E0">
        <w:rPr>
          <w:rFonts w:ascii="Aptos" w:eastAsia="Times New Roman" w:hAnsi="Aptos" w:cs="Segoe UI"/>
          <w:color w:val="002060"/>
        </w:rPr>
        <w:t>tra</w:t>
      </w:r>
      <w:proofErr w:type="spellEnd"/>
      <w:r w:rsidRPr="00F675E0">
        <w:rPr>
          <w:rFonts w:ascii="Aptos" w:eastAsia="Times New Roman" w:hAnsi="Aptos" w:cs="Segoe UI"/>
          <w:color w:val="002060"/>
        </w:rPr>
        <w:t xml:space="preserve"> fish exports surpassed $2 billion, up 9 per cent; tuna exports reached $855.7 million, while the figures for </w:t>
      </w:r>
      <w:proofErr w:type="spellStart"/>
      <w:r w:rsidRPr="00F675E0">
        <w:rPr>
          <w:rFonts w:ascii="Aptos" w:eastAsia="Times New Roman" w:hAnsi="Aptos" w:cs="Segoe UI"/>
          <w:color w:val="002060"/>
        </w:rPr>
        <w:t>molluscs</w:t>
      </w:r>
      <w:proofErr w:type="spellEnd"/>
      <w:r w:rsidRPr="00F675E0">
        <w:rPr>
          <w:rFonts w:ascii="Aptos" w:eastAsia="Times New Roman" w:hAnsi="Aptos" w:cs="Segoe UI"/>
          <w:color w:val="002060"/>
        </w:rPr>
        <w:t>, marine fish and value-added products all maintained double-digit growth.</w:t>
      </w:r>
    </w:p>
    <w:p w14:paraId="63F72470" w14:textId="77777777" w:rsidR="00F675E0" w:rsidRPr="00F675E0" w:rsidRDefault="00F675E0" w:rsidP="00F675E0">
      <w:pPr>
        <w:spacing w:after="0" w:line="288" w:lineRule="auto"/>
        <w:jc w:val="both"/>
        <w:rPr>
          <w:rFonts w:ascii="Aptos" w:eastAsia="Times New Roman" w:hAnsi="Aptos" w:cs="Segoe UI"/>
          <w:color w:val="002060"/>
        </w:rPr>
      </w:pPr>
    </w:p>
    <w:p w14:paraId="2201AD4A"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In terms of markets, Comprehensive and Progressive Agreement for Trans-Pacific Partnership (</w:t>
      </w:r>
      <w:proofErr w:type="spellStart"/>
      <w:r w:rsidRPr="00F675E0">
        <w:rPr>
          <w:rFonts w:ascii="Aptos" w:eastAsia="Times New Roman" w:hAnsi="Aptos" w:cs="Segoe UI"/>
          <w:color w:val="002060"/>
        </w:rPr>
        <w:t>CPTPP</w:t>
      </w:r>
      <w:proofErr w:type="spellEnd"/>
      <w:r w:rsidRPr="00F675E0">
        <w:rPr>
          <w:rFonts w:ascii="Aptos" w:eastAsia="Times New Roman" w:hAnsi="Aptos" w:cs="Segoe UI"/>
          <w:color w:val="002060"/>
        </w:rPr>
        <w:t xml:space="preserve">) member countries accounted for the largest share of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Nam’s total seafood export revenue, at 27.2 per cent, marking a </w:t>
      </w:r>
      <w:r w:rsidRPr="00F675E0">
        <w:rPr>
          <w:rFonts w:ascii="Aptos" w:eastAsia="Times New Roman" w:hAnsi="Aptos" w:cs="Segoe UI"/>
          <w:color w:val="002060"/>
        </w:rPr>
        <w:lastRenderedPageBreak/>
        <w:t>strong growth of 24.3 per cent year-on-year. Exports to China rose 30.6 per cent and to the EU went up 11.9 per cent, while shipments to the US were valued at $1.78 billion, up 8.1 per cent.</w:t>
      </w:r>
    </w:p>
    <w:p w14:paraId="3561AC5A"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Lê </w:t>
      </w:r>
      <w:proofErr w:type="spellStart"/>
      <w:r w:rsidRPr="00F675E0">
        <w:rPr>
          <w:rFonts w:ascii="Aptos" w:eastAsia="Times New Roman" w:hAnsi="Aptos" w:cs="Segoe UI"/>
          <w:color w:val="002060"/>
        </w:rPr>
        <w:t>Hằng</w:t>
      </w:r>
      <w:proofErr w:type="spellEnd"/>
      <w:r w:rsidRPr="00F675E0">
        <w:rPr>
          <w:rFonts w:ascii="Aptos" w:eastAsia="Times New Roman" w:hAnsi="Aptos" w:cs="Segoe UI"/>
          <w:color w:val="002060"/>
        </w:rPr>
        <w:t xml:space="preserve">, </w:t>
      </w:r>
      <w:proofErr w:type="spellStart"/>
      <w:r w:rsidRPr="00F675E0">
        <w:rPr>
          <w:rFonts w:ascii="Aptos" w:eastAsia="Times New Roman" w:hAnsi="Aptos" w:cs="Segoe UI"/>
          <w:color w:val="002060"/>
        </w:rPr>
        <w:t>VASEP’s</w:t>
      </w:r>
      <w:proofErr w:type="spellEnd"/>
      <w:r w:rsidRPr="00F675E0">
        <w:rPr>
          <w:rFonts w:ascii="Aptos" w:eastAsia="Times New Roman" w:hAnsi="Aptos" w:cs="Segoe UI"/>
          <w:color w:val="002060"/>
        </w:rPr>
        <w:t xml:space="preserve"> Deputy General Secretary, noted that in a global market still marked by volatility, the above results reflect the proactive and flexible approach of exporters, particularly in accelerating shipments ahead of anticipated new US regulations on seafood imports and before the final ruling in the country’s anti-dumping case on shrimp.</w:t>
      </w:r>
    </w:p>
    <w:p w14:paraId="7F1DC292"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Seafood exports are expected to drop slightly in December compared to November due to seasonal factors and increased caution among exporters trading with the US. Many businesses have temporarily limited new seafood orders to the market pending official guidance on the US’s Marine Mammal Protection Act (MMPA). However, shrimp exports may hold steady or fall only marginally thanks to stable demand from Japan, the EU and </w:t>
      </w:r>
      <w:proofErr w:type="spellStart"/>
      <w:r w:rsidRPr="00F675E0">
        <w:rPr>
          <w:rFonts w:ascii="Aptos" w:eastAsia="Times New Roman" w:hAnsi="Aptos" w:cs="Segoe UI"/>
          <w:color w:val="002060"/>
        </w:rPr>
        <w:t>CPTPP</w:t>
      </w:r>
      <w:proofErr w:type="spellEnd"/>
      <w:r w:rsidRPr="00F675E0">
        <w:rPr>
          <w:rFonts w:ascii="Aptos" w:eastAsia="Times New Roman" w:hAnsi="Aptos" w:cs="Segoe UI"/>
          <w:color w:val="002060"/>
        </w:rPr>
        <w:t xml:space="preserve"> markets.</w:t>
      </w:r>
    </w:p>
    <w:p w14:paraId="26E3134E" w14:textId="758AD638" w:rsidR="00F675E0" w:rsidRPr="00F675E0" w:rsidRDefault="00F675E0" w:rsidP="00F675E0">
      <w:pPr>
        <w:spacing w:after="450" w:line="288" w:lineRule="auto"/>
        <w:jc w:val="both"/>
        <w:rPr>
          <w:rStyle w:val="Hyperlink"/>
          <w:rFonts w:ascii="Aptos" w:eastAsia="Times New Roman" w:hAnsi="Aptos" w:cs="Segoe UI"/>
          <w:color w:val="002060"/>
          <w:u w:val="none"/>
        </w:rPr>
      </w:pPr>
      <w:r w:rsidRPr="00F675E0">
        <w:rPr>
          <w:rFonts w:ascii="Aptos" w:eastAsia="Times New Roman" w:hAnsi="Aptos" w:cs="Segoe UI"/>
          <w:color w:val="002060"/>
        </w:rPr>
        <w:t xml:space="preserve">According to </w:t>
      </w:r>
      <w:proofErr w:type="spellStart"/>
      <w:r w:rsidRPr="00F675E0">
        <w:rPr>
          <w:rFonts w:ascii="Aptos" w:eastAsia="Times New Roman" w:hAnsi="Aptos" w:cs="Segoe UI"/>
          <w:color w:val="002060"/>
        </w:rPr>
        <w:t>Hằng</w:t>
      </w:r>
      <w:proofErr w:type="spellEnd"/>
      <w:r w:rsidRPr="00F675E0">
        <w:rPr>
          <w:rFonts w:ascii="Aptos" w:eastAsia="Times New Roman" w:hAnsi="Aptos" w:cs="Segoe UI"/>
          <w:color w:val="002060"/>
        </w:rPr>
        <w:t xml:space="preserve">, based on 11-month performance and year-end prospects,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Nam’s seafood exports are likely to set a new record this year, reaching around $11.2-$11.3 billion– the highest level to date. Shrimp exports alone are expected to exceed $4.6 billion, establishing a new record for the sector, </w:t>
      </w:r>
      <w:proofErr w:type="spellStart"/>
      <w:r w:rsidRPr="00F675E0">
        <w:rPr>
          <w:rFonts w:ascii="Aptos" w:eastAsia="Times New Roman" w:hAnsi="Aptos" w:cs="Segoe UI"/>
          <w:color w:val="002060"/>
        </w:rPr>
        <w:t>tra</w:t>
      </w:r>
      <w:proofErr w:type="spellEnd"/>
      <w:r w:rsidRPr="00F675E0">
        <w:rPr>
          <w:rFonts w:ascii="Aptos" w:eastAsia="Times New Roman" w:hAnsi="Aptos" w:cs="Segoe UI"/>
          <w:color w:val="002060"/>
        </w:rPr>
        <w:t xml:space="preserve"> fish exports are forecast to surpass $2.1 billion on the back of demand recovery in Asia, while tuna exports are projected to top $900 million. </w:t>
      </w:r>
    </w:p>
    <w:bookmarkStart w:id="631" w:name="_Toc192767033"/>
    <w:bookmarkStart w:id="632" w:name="_Toc193361541"/>
    <w:bookmarkStart w:id="633" w:name="_Toc193977732"/>
    <w:bookmarkStart w:id="634" w:name="_Toc194671397"/>
    <w:bookmarkStart w:id="635" w:name="_Toc195192232"/>
    <w:bookmarkStart w:id="636" w:name="_Toc195795575"/>
    <w:bookmarkStart w:id="637" w:name="_Toc196395801"/>
    <w:bookmarkStart w:id="638" w:name="_Toc197596761"/>
    <w:bookmarkStart w:id="639" w:name="_Toc198210648"/>
    <w:bookmarkStart w:id="640" w:name="_Toc198816031"/>
    <w:bookmarkStart w:id="641" w:name="_Toc199419427"/>
    <w:bookmarkStart w:id="642" w:name="_Toc200013599"/>
    <w:bookmarkStart w:id="643" w:name="_Toc200628575"/>
    <w:bookmarkStart w:id="644" w:name="_Toc201837358"/>
    <w:bookmarkStart w:id="645" w:name="_Toc202445693"/>
    <w:bookmarkStart w:id="646" w:name="_Toc203047559"/>
    <w:bookmarkStart w:id="647" w:name="_Toc203655863"/>
    <w:bookmarkStart w:id="648" w:name="_Toc204262801"/>
    <w:bookmarkStart w:id="649" w:name="_Toc204862959"/>
    <w:bookmarkStart w:id="650" w:name="_Toc205466588"/>
    <w:bookmarkStart w:id="651" w:name="_Toc206074506"/>
    <w:bookmarkStart w:id="652" w:name="_Toc207184398"/>
    <w:bookmarkStart w:id="653" w:name="_Toc207888604"/>
    <w:bookmarkStart w:id="654" w:name="_Toc208493627"/>
    <w:bookmarkStart w:id="655" w:name="_Toc208493705"/>
    <w:p w14:paraId="1D6A4636" w14:textId="0CA30372" w:rsidR="00304B3D" w:rsidRDefault="00304B3D" w:rsidP="00304B3D">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33A7D703" w14:textId="77777777" w:rsidR="00844199" w:rsidRPr="004C6CBE" w:rsidRDefault="00844199" w:rsidP="00304B3D">
      <w:pPr>
        <w:spacing w:line="288" w:lineRule="auto"/>
        <w:jc w:val="right"/>
        <w:rPr>
          <w:rStyle w:val="Hyperlink"/>
          <w:rFonts w:ascii="Aptos" w:eastAsia="Malgun Gothic" w:hAnsi="Aptos" w:cs="Times New Roman"/>
          <w:color w:val="002060"/>
        </w:rPr>
      </w:pPr>
    </w:p>
    <w:p w14:paraId="08963874" w14:textId="77777777" w:rsidR="00844199" w:rsidRPr="00844199" w:rsidRDefault="00844199" w:rsidP="00844199">
      <w:pPr>
        <w:spacing w:after="150" w:line="288" w:lineRule="auto"/>
        <w:jc w:val="both"/>
        <w:outlineLvl w:val="0"/>
        <w:rPr>
          <w:rFonts w:ascii="Aptos" w:eastAsia="Times New Roman" w:hAnsi="Aptos" w:cs="Times New Roman"/>
          <w:b/>
          <w:bCs/>
          <w:color w:val="002060"/>
          <w:kern w:val="36"/>
          <w:sz w:val="24"/>
          <w:szCs w:val="24"/>
        </w:rPr>
      </w:pPr>
      <w:bookmarkStart w:id="656" w:name="_Toc216355052"/>
      <w:proofErr w:type="spellStart"/>
      <w:r w:rsidRPr="00844199">
        <w:rPr>
          <w:rFonts w:ascii="Aptos" w:eastAsia="Times New Roman" w:hAnsi="Aptos" w:cs="Times New Roman"/>
          <w:b/>
          <w:bCs/>
          <w:color w:val="002060"/>
          <w:kern w:val="36"/>
          <w:sz w:val="24"/>
          <w:szCs w:val="24"/>
        </w:rPr>
        <w:t>HCM</w:t>
      </w:r>
      <w:proofErr w:type="spellEnd"/>
      <w:r w:rsidRPr="00844199">
        <w:rPr>
          <w:rFonts w:ascii="Aptos" w:eastAsia="Times New Roman" w:hAnsi="Aptos" w:cs="Times New Roman"/>
          <w:b/>
          <w:bCs/>
          <w:color w:val="002060"/>
          <w:kern w:val="36"/>
          <w:sz w:val="24"/>
          <w:szCs w:val="24"/>
        </w:rPr>
        <w:t xml:space="preserve"> City projects strong 8% growth for 2025</w:t>
      </w:r>
      <w:bookmarkEnd w:id="656"/>
    </w:p>
    <w:p w14:paraId="5CB34E1E" w14:textId="6AE2E8C0" w:rsidR="00844199" w:rsidRPr="00844199" w:rsidRDefault="00844199" w:rsidP="00844199">
      <w:pPr>
        <w:spacing w:after="150" w:line="288" w:lineRule="auto"/>
        <w:jc w:val="both"/>
        <w:outlineLvl w:val="0"/>
        <w:rPr>
          <w:rFonts w:ascii="Aptos" w:eastAsia="Times New Roman" w:hAnsi="Aptos" w:cs="Times New Roman"/>
          <w:i/>
          <w:iCs/>
          <w:color w:val="002060"/>
          <w:kern w:val="36"/>
          <w:sz w:val="18"/>
          <w:szCs w:val="18"/>
        </w:rPr>
      </w:pPr>
      <w:bookmarkStart w:id="657" w:name="_Toc216355053"/>
      <w:r w:rsidRPr="00844199">
        <w:rPr>
          <w:rFonts w:ascii="Aptos" w:eastAsia="Times New Roman" w:hAnsi="Aptos" w:cs="Times New Roman"/>
          <w:i/>
          <w:iCs/>
          <w:color w:val="002060"/>
          <w:kern w:val="36"/>
          <w:sz w:val="18"/>
          <w:szCs w:val="18"/>
        </w:rPr>
        <w:t>VNS</w:t>
      </w:r>
      <w:bookmarkEnd w:id="657"/>
    </w:p>
    <w:p w14:paraId="153BD5B6" w14:textId="77777777" w:rsidR="00844199" w:rsidRPr="00844199" w:rsidRDefault="00844199" w:rsidP="00844199">
      <w:pPr>
        <w:spacing w:line="288" w:lineRule="auto"/>
        <w:jc w:val="both"/>
        <w:rPr>
          <w:rFonts w:ascii="Aptos" w:eastAsia="Times New Roman" w:hAnsi="Aptos" w:cs="Poppins"/>
          <w:color w:val="002060"/>
        </w:rPr>
      </w:pPr>
      <w:proofErr w:type="spellStart"/>
      <w:r w:rsidRPr="00844199">
        <w:rPr>
          <w:rFonts w:ascii="Aptos" w:eastAsia="Times New Roman" w:hAnsi="Aptos" w:cs="Poppins"/>
          <w:color w:val="002060"/>
        </w:rPr>
        <w:t>HCM</w:t>
      </w:r>
      <w:proofErr w:type="spellEnd"/>
      <w:r w:rsidRPr="00844199">
        <w:rPr>
          <w:rFonts w:ascii="Aptos" w:eastAsia="Times New Roman" w:hAnsi="Aptos" w:cs="Poppins"/>
          <w:color w:val="002060"/>
        </w:rPr>
        <w:t> City’s gross regional domestic product (</w:t>
      </w:r>
      <w:proofErr w:type="spellStart"/>
      <w:r w:rsidRPr="00844199">
        <w:rPr>
          <w:rFonts w:ascii="Aptos" w:eastAsia="Times New Roman" w:hAnsi="Aptos" w:cs="Poppins"/>
          <w:color w:val="002060"/>
        </w:rPr>
        <w:t>GRDP</w:t>
      </w:r>
      <w:proofErr w:type="spellEnd"/>
      <w:r w:rsidRPr="00844199">
        <w:rPr>
          <w:rFonts w:ascii="Aptos" w:eastAsia="Times New Roman" w:hAnsi="Aptos" w:cs="Poppins"/>
          <w:color w:val="002060"/>
        </w:rPr>
        <w:t>) is forecast to expand by approximately 8.03 per cent in 2025, outpacing the national average and reaffirming the city’s role as a leading growth engine for the country.</w:t>
      </w:r>
    </w:p>
    <w:p w14:paraId="4AF90083" w14:textId="62FCBF18" w:rsidR="00844199" w:rsidRPr="00844199" w:rsidRDefault="00844199" w:rsidP="00844199">
      <w:pPr>
        <w:spacing w:line="288" w:lineRule="auto"/>
        <w:jc w:val="both"/>
        <w:rPr>
          <w:rFonts w:ascii="Aptos" w:eastAsia="Times New Roman" w:hAnsi="Aptos" w:cs="Poppins"/>
          <w:color w:val="002060"/>
        </w:rPr>
      </w:pPr>
      <w:r w:rsidRPr="00844199">
        <w:rPr>
          <w:rFonts w:ascii="Aptos" w:eastAsia="Times New Roman" w:hAnsi="Aptos" w:cs="Segoe UI"/>
          <w:color w:val="002060"/>
        </w:rPr>
        <w:t>Speaking at the opening session of the sixth meeting of the 10th-tenure municipal People’s Council on December 9, Chairman Võ Văn Minh said the city had completed the consolidation of administrative units at all levels, implemented the two-tier local government model, and achieved notable socio-economic progress in 2025.</w:t>
      </w:r>
    </w:p>
    <w:p w14:paraId="4D95755C" w14:textId="77777777" w:rsidR="00844199" w:rsidRPr="00844199" w:rsidRDefault="00844199" w:rsidP="00844199">
      <w:pPr>
        <w:spacing w:after="450" w:line="288" w:lineRule="auto"/>
        <w:jc w:val="both"/>
        <w:rPr>
          <w:rFonts w:ascii="Aptos" w:eastAsia="Times New Roman" w:hAnsi="Aptos" w:cs="Segoe UI"/>
          <w:color w:val="002060"/>
        </w:rPr>
      </w:pPr>
      <w:r w:rsidRPr="00844199">
        <w:rPr>
          <w:rFonts w:ascii="Aptos" w:eastAsia="Times New Roman" w:hAnsi="Aptos" w:cs="Segoe UI"/>
          <w:color w:val="002060"/>
        </w:rPr>
        <w:t xml:space="preserve">The city’s total </w:t>
      </w:r>
      <w:proofErr w:type="spellStart"/>
      <w:r w:rsidRPr="00844199">
        <w:rPr>
          <w:rFonts w:ascii="Aptos" w:eastAsia="Times New Roman" w:hAnsi="Aptos" w:cs="Segoe UI"/>
          <w:color w:val="002060"/>
        </w:rPr>
        <w:t>GRDP</w:t>
      </w:r>
      <w:proofErr w:type="spellEnd"/>
      <w:r w:rsidRPr="00844199">
        <w:rPr>
          <w:rFonts w:ascii="Aptos" w:eastAsia="Times New Roman" w:hAnsi="Aptos" w:cs="Segoe UI"/>
          <w:color w:val="002060"/>
        </w:rPr>
        <w:t xml:space="preserve"> value for 2025 is estimated at </w:t>
      </w:r>
      <w:proofErr w:type="spellStart"/>
      <w:r w:rsidRPr="00844199">
        <w:rPr>
          <w:rFonts w:ascii="Aptos" w:eastAsia="Times New Roman" w:hAnsi="Aptos" w:cs="Segoe UI"/>
          <w:color w:val="002060"/>
        </w:rPr>
        <w:t>VNĐ2.74</w:t>
      </w:r>
      <w:proofErr w:type="spellEnd"/>
      <w:r w:rsidRPr="00844199">
        <w:rPr>
          <w:rFonts w:ascii="Aptos" w:eastAsia="Times New Roman" w:hAnsi="Aptos" w:cs="Segoe UI"/>
          <w:color w:val="002060"/>
        </w:rPr>
        <w:t xml:space="preserve"> quadrillion (</w:t>
      </w:r>
      <w:proofErr w:type="spellStart"/>
      <w:r w:rsidRPr="00844199">
        <w:rPr>
          <w:rFonts w:ascii="Aptos" w:eastAsia="Times New Roman" w:hAnsi="Aptos" w:cs="Segoe UI"/>
          <w:color w:val="002060"/>
        </w:rPr>
        <w:t>US$103.93</w:t>
      </w:r>
      <w:proofErr w:type="spellEnd"/>
      <w:r w:rsidRPr="00844199">
        <w:rPr>
          <w:rFonts w:ascii="Aptos" w:eastAsia="Times New Roman" w:hAnsi="Aptos" w:cs="Segoe UI"/>
          <w:color w:val="002060"/>
        </w:rPr>
        <w:t xml:space="preserve"> billion), accounting for 23.5 per cent of national GDP. </w:t>
      </w:r>
      <w:proofErr w:type="spellStart"/>
      <w:r w:rsidRPr="00844199">
        <w:rPr>
          <w:rFonts w:ascii="Aptos" w:eastAsia="Times New Roman" w:hAnsi="Aptos" w:cs="Segoe UI"/>
          <w:color w:val="002060"/>
        </w:rPr>
        <w:t>GRDP</w:t>
      </w:r>
      <w:proofErr w:type="spellEnd"/>
      <w:r w:rsidRPr="00844199">
        <w:rPr>
          <w:rFonts w:ascii="Aptos" w:eastAsia="Times New Roman" w:hAnsi="Aptos" w:cs="Segoe UI"/>
          <w:color w:val="002060"/>
        </w:rPr>
        <w:t xml:space="preserve"> per capita is projected to reach $8,066 USD. Foreign direct investment inflows are expected to total $8.16 billion, representing a 21.1 per cent increase year-on-year. Trade and services continued to perform strongly, with total retail sales of goods and consumer service revenue rising by 13.5 per cent, reflecting improved purchasing power and market confidence. The industrial production index is estimated to grow by 9 per cent.</w:t>
      </w:r>
    </w:p>
    <w:p w14:paraId="79C4271B" w14:textId="77777777" w:rsidR="00844199" w:rsidRPr="00844199" w:rsidRDefault="00844199" w:rsidP="00844199">
      <w:pPr>
        <w:spacing w:after="450" w:line="288" w:lineRule="auto"/>
        <w:jc w:val="both"/>
        <w:rPr>
          <w:rFonts w:ascii="Aptos" w:eastAsia="Times New Roman" w:hAnsi="Aptos" w:cs="Segoe UI"/>
          <w:color w:val="002060"/>
        </w:rPr>
      </w:pPr>
      <w:r w:rsidRPr="00844199">
        <w:rPr>
          <w:rFonts w:ascii="Aptos" w:eastAsia="Times New Roman" w:hAnsi="Aptos" w:cs="Segoe UI"/>
          <w:color w:val="002060"/>
        </w:rPr>
        <w:t xml:space="preserve">State budget revenue for 2025 is projected at around </w:t>
      </w:r>
      <w:proofErr w:type="spellStart"/>
      <w:r w:rsidRPr="00844199">
        <w:rPr>
          <w:rFonts w:ascii="Aptos" w:eastAsia="Times New Roman" w:hAnsi="Aptos" w:cs="Segoe UI"/>
          <w:color w:val="002060"/>
        </w:rPr>
        <w:t>VNĐ746.44</w:t>
      </w:r>
      <w:proofErr w:type="spellEnd"/>
      <w:r w:rsidRPr="00844199">
        <w:rPr>
          <w:rFonts w:ascii="Aptos" w:eastAsia="Times New Roman" w:hAnsi="Aptos" w:cs="Segoe UI"/>
          <w:color w:val="002060"/>
        </w:rPr>
        <w:t xml:space="preserve"> trillion, 109.6 per cent of last year’s figure, 111.4 per cent of the assigned target and 107.3 per cent of the target set by the municipal People’s Council, accounting for 31.2 per cent of nationwide collections. Local budget revenue is estimated at about </w:t>
      </w:r>
      <w:proofErr w:type="spellStart"/>
      <w:r w:rsidRPr="00844199">
        <w:rPr>
          <w:rFonts w:ascii="Aptos" w:eastAsia="Times New Roman" w:hAnsi="Aptos" w:cs="Segoe UI"/>
          <w:color w:val="002060"/>
        </w:rPr>
        <w:t>VNĐ533.85</w:t>
      </w:r>
      <w:proofErr w:type="spellEnd"/>
      <w:r w:rsidRPr="00844199">
        <w:rPr>
          <w:rFonts w:ascii="Aptos" w:eastAsia="Times New Roman" w:hAnsi="Aptos" w:cs="Segoe UI"/>
          <w:color w:val="002060"/>
        </w:rPr>
        <w:t xml:space="preserve"> trillion.</w:t>
      </w:r>
    </w:p>
    <w:p w14:paraId="751D2B18" w14:textId="77777777" w:rsidR="00844199" w:rsidRPr="00844199" w:rsidRDefault="00844199" w:rsidP="00844199">
      <w:pPr>
        <w:spacing w:after="450" w:line="288" w:lineRule="auto"/>
        <w:jc w:val="both"/>
        <w:rPr>
          <w:rFonts w:ascii="Aptos" w:eastAsia="Times New Roman" w:hAnsi="Aptos" w:cs="Segoe UI"/>
          <w:color w:val="002060"/>
        </w:rPr>
      </w:pPr>
      <w:r w:rsidRPr="00844199">
        <w:rPr>
          <w:rFonts w:ascii="Aptos" w:eastAsia="Times New Roman" w:hAnsi="Aptos" w:cs="Segoe UI"/>
          <w:color w:val="002060"/>
        </w:rPr>
        <w:lastRenderedPageBreak/>
        <w:t xml:space="preserve">Local budget expenditure is forecast at approximately </w:t>
      </w:r>
      <w:proofErr w:type="spellStart"/>
      <w:r w:rsidRPr="00844199">
        <w:rPr>
          <w:rFonts w:ascii="Aptos" w:eastAsia="Times New Roman" w:hAnsi="Aptos" w:cs="Segoe UI"/>
          <w:color w:val="002060"/>
        </w:rPr>
        <w:t>VNĐ282.06</w:t>
      </w:r>
      <w:proofErr w:type="spellEnd"/>
      <w:r w:rsidRPr="00844199">
        <w:rPr>
          <w:rFonts w:ascii="Aptos" w:eastAsia="Times New Roman" w:hAnsi="Aptos" w:cs="Segoe UI"/>
          <w:color w:val="002060"/>
        </w:rPr>
        <w:t xml:space="preserve"> trillion, providing crucial resources for infrastructure investment, social welfare and improving living standards. The city recorded the establishment of 59,750 enterprises, with total newly registered and additional capital estimated at over </w:t>
      </w:r>
      <w:proofErr w:type="spellStart"/>
      <w:r w:rsidRPr="00844199">
        <w:rPr>
          <w:rFonts w:ascii="Aptos" w:eastAsia="Times New Roman" w:hAnsi="Aptos" w:cs="Segoe UI"/>
          <w:color w:val="002060"/>
        </w:rPr>
        <w:t>VNĐ2</w:t>
      </w:r>
      <w:proofErr w:type="spellEnd"/>
      <w:r w:rsidRPr="00844199">
        <w:rPr>
          <w:rFonts w:ascii="Aptos" w:eastAsia="Times New Roman" w:hAnsi="Aptos" w:cs="Segoe UI"/>
          <w:color w:val="002060"/>
        </w:rPr>
        <w:t xml:space="preserve"> quadrillion.</w:t>
      </w:r>
    </w:p>
    <w:p w14:paraId="7B0B3452" w14:textId="77777777" w:rsidR="00844199" w:rsidRPr="00844199" w:rsidRDefault="00844199" w:rsidP="00844199">
      <w:pPr>
        <w:spacing w:after="450" w:line="288" w:lineRule="auto"/>
        <w:jc w:val="both"/>
        <w:rPr>
          <w:rFonts w:ascii="Aptos" w:eastAsia="Times New Roman" w:hAnsi="Aptos" w:cs="Segoe UI"/>
          <w:color w:val="002060"/>
        </w:rPr>
      </w:pPr>
      <w:r w:rsidRPr="00844199">
        <w:rPr>
          <w:rFonts w:ascii="Aptos" w:eastAsia="Times New Roman" w:hAnsi="Aptos" w:cs="Segoe UI"/>
          <w:color w:val="002060"/>
        </w:rPr>
        <w:t xml:space="preserve">According to the municipal People’s Committee, </w:t>
      </w:r>
      <w:proofErr w:type="spellStart"/>
      <w:r w:rsidRPr="00844199">
        <w:rPr>
          <w:rFonts w:ascii="Aptos" w:eastAsia="Times New Roman" w:hAnsi="Aptos" w:cs="Segoe UI"/>
          <w:color w:val="002060"/>
        </w:rPr>
        <w:t>HCM</w:t>
      </w:r>
      <w:proofErr w:type="spellEnd"/>
      <w:r w:rsidRPr="00844199">
        <w:rPr>
          <w:rFonts w:ascii="Aptos" w:eastAsia="Times New Roman" w:hAnsi="Aptos" w:cs="Segoe UI"/>
          <w:color w:val="002060"/>
        </w:rPr>
        <w:t xml:space="preserve"> City has put into operation numerous key infrastructure and transport projects in 2025, as well as major works to prevent riverbank and canal erosion. It has also drawn up plans to implement the </w:t>
      </w:r>
      <w:proofErr w:type="spellStart"/>
      <w:r w:rsidRPr="00844199">
        <w:rPr>
          <w:rFonts w:ascii="Aptos" w:eastAsia="Times New Roman" w:hAnsi="Aptos" w:cs="Segoe UI"/>
          <w:color w:val="002060"/>
        </w:rPr>
        <w:t>Cần</w:t>
      </w:r>
      <w:proofErr w:type="spellEnd"/>
      <w:r w:rsidRPr="00844199">
        <w:rPr>
          <w:rFonts w:ascii="Aptos" w:eastAsia="Times New Roman" w:hAnsi="Aptos" w:cs="Segoe UI"/>
          <w:color w:val="002060"/>
        </w:rPr>
        <w:t xml:space="preserve"> </w:t>
      </w:r>
      <w:proofErr w:type="spellStart"/>
      <w:r w:rsidRPr="00844199">
        <w:rPr>
          <w:rFonts w:ascii="Aptos" w:eastAsia="Times New Roman" w:hAnsi="Aptos" w:cs="Segoe UI"/>
          <w:color w:val="002060"/>
        </w:rPr>
        <w:t>Giờ</w:t>
      </w:r>
      <w:proofErr w:type="spellEnd"/>
      <w:r w:rsidRPr="00844199">
        <w:rPr>
          <w:rFonts w:ascii="Aptos" w:eastAsia="Times New Roman" w:hAnsi="Aptos" w:cs="Segoe UI"/>
          <w:color w:val="002060"/>
        </w:rPr>
        <w:t xml:space="preserve"> International Transshipment Port project and the </w:t>
      </w:r>
      <w:proofErr w:type="spellStart"/>
      <w:r w:rsidRPr="00844199">
        <w:rPr>
          <w:rFonts w:ascii="Aptos" w:eastAsia="Times New Roman" w:hAnsi="Aptos" w:cs="Segoe UI"/>
          <w:color w:val="002060"/>
        </w:rPr>
        <w:t>Soai</w:t>
      </w:r>
      <w:proofErr w:type="spellEnd"/>
      <w:r w:rsidRPr="00844199">
        <w:rPr>
          <w:rFonts w:ascii="Aptos" w:eastAsia="Times New Roman" w:hAnsi="Aptos" w:cs="Segoe UI"/>
          <w:color w:val="002060"/>
        </w:rPr>
        <w:t xml:space="preserve"> Rap River dredging project.</w:t>
      </w:r>
    </w:p>
    <w:p w14:paraId="77E330B0" w14:textId="2CB8DA5E" w:rsidR="00844199" w:rsidRPr="00844199" w:rsidRDefault="00844199" w:rsidP="00844199">
      <w:pPr>
        <w:spacing w:after="450" w:line="288" w:lineRule="auto"/>
        <w:jc w:val="both"/>
        <w:rPr>
          <w:rFonts w:ascii="Aptos" w:eastAsia="Times New Roman" w:hAnsi="Aptos" w:cs="Segoe UI"/>
          <w:color w:val="002060"/>
        </w:rPr>
      </w:pPr>
      <w:r w:rsidRPr="00844199">
        <w:rPr>
          <w:rFonts w:ascii="Aptos" w:eastAsia="Times New Roman" w:hAnsi="Aptos" w:cs="Segoe UI"/>
          <w:color w:val="002060"/>
        </w:rPr>
        <w:t xml:space="preserve">The city is reviewing detailed planning for its port land and water areas and has completed a proposal on further developing and </w:t>
      </w:r>
      <w:proofErr w:type="spellStart"/>
      <w:r w:rsidRPr="00844199">
        <w:rPr>
          <w:rFonts w:ascii="Aptos" w:eastAsia="Times New Roman" w:hAnsi="Aptos" w:cs="Segoe UI"/>
          <w:color w:val="002060"/>
        </w:rPr>
        <w:t>modernising</w:t>
      </w:r>
      <w:proofErr w:type="spellEnd"/>
      <w:r w:rsidRPr="00844199">
        <w:rPr>
          <w:rFonts w:ascii="Aptos" w:eastAsia="Times New Roman" w:hAnsi="Aptos" w:cs="Segoe UI"/>
          <w:color w:val="002060"/>
        </w:rPr>
        <w:t xml:space="preserve"> the </w:t>
      </w:r>
      <w:proofErr w:type="spellStart"/>
      <w:r w:rsidRPr="00844199">
        <w:rPr>
          <w:rFonts w:ascii="Aptos" w:eastAsia="Times New Roman" w:hAnsi="Aptos" w:cs="Segoe UI"/>
          <w:color w:val="002060"/>
        </w:rPr>
        <w:t>Cái</w:t>
      </w:r>
      <w:proofErr w:type="spellEnd"/>
      <w:r w:rsidRPr="00844199">
        <w:rPr>
          <w:rFonts w:ascii="Aptos" w:eastAsia="Times New Roman" w:hAnsi="Aptos" w:cs="Segoe UI"/>
          <w:color w:val="002060"/>
        </w:rPr>
        <w:t xml:space="preserve"> </w:t>
      </w:r>
      <w:proofErr w:type="spellStart"/>
      <w:r w:rsidRPr="00844199">
        <w:rPr>
          <w:rFonts w:ascii="Aptos" w:eastAsia="Times New Roman" w:hAnsi="Aptos" w:cs="Segoe UI"/>
          <w:color w:val="002060"/>
        </w:rPr>
        <w:t>Mép-Thị</w:t>
      </w:r>
      <w:proofErr w:type="spellEnd"/>
      <w:r w:rsidRPr="00844199">
        <w:rPr>
          <w:rFonts w:ascii="Aptos" w:eastAsia="Times New Roman" w:hAnsi="Aptos" w:cs="Segoe UI"/>
          <w:color w:val="002060"/>
        </w:rPr>
        <w:t xml:space="preserve"> </w:t>
      </w:r>
      <w:proofErr w:type="spellStart"/>
      <w:r w:rsidRPr="00844199">
        <w:rPr>
          <w:rFonts w:ascii="Aptos" w:eastAsia="Times New Roman" w:hAnsi="Aptos" w:cs="Segoe UI"/>
          <w:color w:val="002060"/>
        </w:rPr>
        <w:t>Vải</w:t>
      </w:r>
      <w:proofErr w:type="spellEnd"/>
      <w:r w:rsidRPr="00844199">
        <w:rPr>
          <w:rFonts w:ascii="Aptos" w:eastAsia="Times New Roman" w:hAnsi="Aptos" w:cs="Segoe UI"/>
          <w:color w:val="002060"/>
        </w:rPr>
        <w:t xml:space="preserve"> International Gateway Port into the country’s largest transshipment hub with regional and global standing. It has also submitted to the municipal People’s Council plans to allocate preparatory investment capital for seven urban railway lines and two metro lines No 1 and No 2 in Bình </w:t>
      </w:r>
      <w:proofErr w:type="spellStart"/>
      <w:r w:rsidRPr="00844199">
        <w:rPr>
          <w:rFonts w:ascii="Aptos" w:eastAsia="Times New Roman" w:hAnsi="Aptos" w:cs="Segoe UI"/>
          <w:color w:val="002060"/>
        </w:rPr>
        <w:t>Dương</w:t>
      </w:r>
      <w:proofErr w:type="spellEnd"/>
      <w:r w:rsidRPr="00844199">
        <w:rPr>
          <w:rFonts w:ascii="Aptos" w:eastAsia="Times New Roman" w:hAnsi="Aptos" w:cs="Segoe UI"/>
          <w:color w:val="002060"/>
        </w:rPr>
        <w:t xml:space="preserve">. </w:t>
      </w:r>
    </w:p>
    <w:p w14:paraId="16B1593B" w14:textId="77777777" w:rsidR="00844199" w:rsidRPr="004C6CBE" w:rsidRDefault="00844199" w:rsidP="00844199">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91104CF" w14:textId="77777777" w:rsidR="002A02C8" w:rsidRPr="004C6CBE" w:rsidRDefault="002A02C8" w:rsidP="00EA3310">
      <w:pPr>
        <w:pStyle w:val="Heading1"/>
        <w:rPr>
          <w:rFonts w:ascii="Aptos" w:eastAsia="Malgun Gothic" w:hAnsi="Aptos" w:cs="Times New Roman"/>
          <w:color w:val="002060"/>
        </w:rPr>
      </w:pPr>
    </w:p>
    <w:p w14:paraId="5D7C6CC7" w14:textId="77777777" w:rsidR="00350458" w:rsidRDefault="00350458" w:rsidP="004F381D">
      <w:pPr>
        <w:pStyle w:val="Heading1"/>
        <w:shd w:val="clear" w:color="auto" w:fill="FFFFFF"/>
        <w:spacing w:before="0" w:line="288" w:lineRule="atLeast"/>
        <w:rPr>
          <w:rFonts w:ascii="Aptos" w:eastAsia="Malgun Gothic" w:hAnsi="Aptos" w:cs="Times New Roman"/>
          <w:color w:val="002060"/>
        </w:rPr>
      </w:pPr>
      <w:bookmarkStart w:id="658" w:name="_Toc209099449"/>
      <w:bookmarkStart w:id="659" w:name="_Toc209702677"/>
      <w:bookmarkStart w:id="660" w:name="_Toc210305241"/>
      <w:bookmarkStart w:id="661" w:name="_Toc210911919"/>
      <w:bookmarkStart w:id="662" w:name="_Toc210912011"/>
      <w:bookmarkStart w:id="663" w:name="_Toc211518242"/>
      <w:bookmarkStart w:id="664" w:name="_Toc212118923"/>
      <w:bookmarkStart w:id="665" w:name="_Toc212726918"/>
      <w:bookmarkStart w:id="666" w:name="_Toc213334254"/>
      <w:bookmarkStart w:id="667" w:name="_Toc213924603"/>
      <w:bookmarkStart w:id="668" w:name="_Toc214539945"/>
      <w:bookmarkStart w:id="669" w:name="_Toc215144380"/>
    </w:p>
    <w:p w14:paraId="48878818" w14:textId="6384173D" w:rsidR="00AB2A22" w:rsidRPr="004C6CBE" w:rsidRDefault="003C4CF1" w:rsidP="004F381D">
      <w:pPr>
        <w:pStyle w:val="Heading1"/>
        <w:shd w:val="clear" w:color="auto" w:fill="FFFFFF"/>
        <w:spacing w:before="0" w:line="288" w:lineRule="atLeast"/>
        <w:rPr>
          <w:rFonts w:ascii="Aptos" w:eastAsia="Malgun Gothic" w:hAnsi="Aptos" w:cs="Times New Roman"/>
          <w:color w:val="002060"/>
        </w:rPr>
      </w:pPr>
      <w:bookmarkStart w:id="670" w:name="_Toc215750958"/>
      <w:bookmarkStart w:id="671" w:name="_Toc216355054"/>
      <w:r w:rsidRPr="004C6CBE">
        <w:rPr>
          <w:rFonts w:ascii="Aptos" w:eastAsia="Malgun Gothic" w:hAnsi="Aptos" w:cs="Times New Roman"/>
          <w:color w:val="002060"/>
        </w:rPr>
        <w:t>INVESTMENT</w:t>
      </w:r>
      <w:bookmarkStart w:id="672" w:name="_Toc85726063"/>
      <w:bookmarkStart w:id="673" w:name="_Toc432151524"/>
      <w:bookmarkStart w:id="674" w:name="_Toc432755907"/>
      <w:bookmarkStart w:id="675" w:name="_Toc433361380"/>
      <w:bookmarkStart w:id="676" w:name="_Toc433965278"/>
      <w:bookmarkStart w:id="677" w:name="_Toc434571316"/>
      <w:bookmarkStart w:id="678" w:name="_Toc435172624"/>
      <w:bookmarkStart w:id="679" w:name="_Toc435779449"/>
      <w:bookmarkStart w:id="680" w:name="_Toc436380890"/>
      <w:bookmarkStart w:id="681" w:name="_Toc436991379"/>
      <w:bookmarkStart w:id="682" w:name="_Toc437595402"/>
      <w:bookmarkStart w:id="683" w:name="_Toc440013654"/>
      <w:bookmarkStart w:id="684" w:name="_Toc440621866"/>
      <w:bookmarkStart w:id="685" w:name="_Toc441223776"/>
      <w:bookmarkStart w:id="686" w:name="_Toc441828302"/>
      <w:bookmarkStart w:id="687" w:name="_Toc441828397"/>
      <w:bookmarkStart w:id="688" w:name="_Toc442344478"/>
      <w:bookmarkStart w:id="689" w:name="_Toc443643410"/>
      <w:bookmarkStart w:id="690" w:name="_Toc444246121"/>
      <w:bookmarkStart w:id="691" w:name="_Toc444852043"/>
      <w:bookmarkStart w:id="692" w:name="_Toc445456104"/>
      <w:bookmarkStart w:id="693" w:name="_Toc445973470"/>
      <w:bookmarkStart w:id="694" w:name="_Toc446664823"/>
      <w:bookmarkStart w:id="695" w:name="_Toc447269375"/>
      <w:bookmarkStart w:id="696" w:name="_Toc447874150"/>
      <w:bookmarkStart w:id="697" w:name="_Toc448482080"/>
      <w:bookmarkStart w:id="698" w:name="_Toc449082188"/>
      <w:bookmarkStart w:id="699" w:name="_Toc449689091"/>
      <w:bookmarkStart w:id="700" w:name="_Toc450293029"/>
      <w:bookmarkStart w:id="701" w:name="_Toc450896941"/>
      <w:bookmarkStart w:id="702" w:name="_Toc452625639"/>
      <w:bookmarkStart w:id="703" w:name="_Toc453317635"/>
      <w:bookmarkStart w:id="704" w:name="_Toc453921139"/>
      <w:bookmarkStart w:id="705" w:name="_Toc454525843"/>
      <w:bookmarkStart w:id="706" w:name="_Toc455664220"/>
      <w:bookmarkStart w:id="707" w:name="_Toc456342934"/>
      <w:bookmarkStart w:id="708" w:name="_Toc456948592"/>
      <w:bookmarkStart w:id="709" w:name="_Toc457551652"/>
      <w:bookmarkStart w:id="710" w:name="_Toc458760438"/>
      <w:bookmarkStart w:id="711" w:name="_Toc459970961"/>
      <w:bookmarkStart w:id="712" w:name="_Toc460493837"/>
      <w:bookmarkStart w:id="713" w:name="_Toc461091259"/>
      <w:bookmarkStart w:id="714" w:name="_Toc461785962"/>
      <w:bookmarkStart w:id="715" w:name="_Toc462393216"/>
      <w:bookmarkStart w:id="716" w:name="_Toc462996392"/>
      <w:bookmarkStart w:id="717" w:name="_Toc463600474"/>
      <w:bookmarkStart w:id="718" w:name="_Toc464205360"/>
      <w:bookmarkStart w:id="719" w:name="_Toc464808172"/>
      <w:bookmarkStart w:id="720" w:name="_Toc465341592"/>
      <w:bookmarkStart w:id="721" w:name="_Toc466017257"/>
      <w:bookmarkStart w:id="722" w:name="_Toc466625785"/>
      <w:bookmarkStart w:id="723" w:name="_Toc467231588"/>
      <w:bookmarkStart w:id="724" w:name="_Toc467832927"/>
      <w:bookmarkStart w:id="725" w:name="_Toc468440613"/>
      <w:bookmarkStart w:id="726" w:name="_Toc469043514"/>
      <w:bookmarkStart w:id="727" w:name="_Toc469650545"/>
      <w:bookmarkStart w:id="728" w:name="_Toc472071555"/>
      <w:bookmarkStart w:id="729" w:name="_Toc472672621"/>
      <w:bookmarkStart w:id="730" w:name="_Toc473881019"/>
      <w:bookmarkStart w:id="731" w:name="_Toc474487615"/>
      <w:bookmarkStart w:id="732" w:name="_Toc475090270"/>
      <w:bookmarkStart w:id="733" w:name="_Toc475697896"/>
      <w:bookmarkStart w:id="734" w:name="_Toc476302021"/>
      <w:bookmarkStart w:id="735" w:name="_Toc476906662"/>
      <w:bookmarkStart w:id="736" w:name="_Toc28949355"/>
      <w:bookmarkStart w:id="737" w:name="_Toc29553162"/>
      <w:bookmarkStart w:id="738" w:name="_Toc31365283"/>
      <w:bookmarkStart w:id="739" w:name="_Toc31968689"/>
      <w:bookmarkStart w:id="740" w:name="_Toc33177778"/>
      <w:bookmarkStart w:id="741" w:name="_Toc33784203"/>
      <w:bookmarkStart w:id="742" w:name="_Toc34387338"/>
      <w:bookmarkStart w:id="743" w:name="_Toc34992454"/>
      <w:bookmarkStart w:id="744" w:name="_Toc36200907"/>
      <w:bookmarkStart w:id="745" w:name="_Toc36804868"/>
      <w:bookmarkStart w:id="746" w:name="_Toc37412097"/>
      <w:bookmarkStart w:id="747" w:name="_Toc38016891"/>
      <w:bookmarkStart w:id="748" w:name="_Toc38623247"/>
      <w:bookmarkStart w:id="749" w:name="_Toc47007110"/>
      <w:bookmarkStart w:id="750" w:name="_Toc47608053"/>
      <w:bookmarkStart w:id="751" w:name="_Toc48219511"/>
      <w:bookmarkStart w:id="752" w:name="_Toc48816714"/>
      <w:bookmarkStart w:id="753" w:name="_Toc49427955"/>
      <w:bookmarkStart w:id="754" w:name="_Toc50027104"/>
      <w:bookmarkStart w:id="755" w:name="_Toc50638513"/>
      <w:bookmarkStart w:id="756" w:name="_Toc51235703"/>
      <w:bookmarkStart w:id="757" w:name="_Toc51848409"/>
      <w:bookmarkStart w:id="758" w:name="_Toc52453555"/>
      <w:bookmarkStart w:id="759" w:name="_Toc53055806"/>
      <w:bookmarkStart w:id="760" w:name="_Toc53660727"/>
      <w:bookmarkStart w:id="761" w:name="_Toc54259226"/>
      <w:bookmarkStart w:id="762" w:name="_Toc54865641"/>
      <w:bookmarkStart w:id="763" w:name="_Toc55477670"/>
      <w:bookmarkStart w:id="764" w:name="_Toc56073558"/>
      <w:bookmarkStart w:id="765" w:name="_Toc56678766"/>
      <w:bookmarkStart w:id="766" w:name="_Toc57284477"/>
      <w:bookmarkStart w:id="767" w:name="_Toc57895625"/>
      <w:bookmarkStart w:id="768" w:name="_Toc58494291"/>
      <w:bookmarkStart w:id="769" w:name="_Toc59104493"/>
      <w:bookmarkStart w:id="770" w:name="_Toc60922251"/>
      <w:bookmarkStart w:id="771" w:name="_Toc61518219"/>
      <w:bookmarkStart w:id="772" w:name="_Toc62129063"/>
      <w:bookmarkStart w:id="773" w:name="_Toc62734941"/>
      <w:bookmarkStart w:id="774" w:name="_Toc63333216"/>
      <w:bookmarkStart w:id="775" w:name="_Toc65152053"/>
      <w:bookmarkStart w:id="776" w:name="_Toc65759405"/>
      <w:bookmarkStart w:id="777" w:name="_Toc66363544"/>
      <w:bookmarkStart w:id="778" w:name="_Toc66960052"/>
      <w:bookmarkStart w:id="779" w:name="_Toc67652149"/>
      <w:bookmarkStart w:id="780" w:name="_Toc68179924"/>
      <w:bookmarkStart w:id="781" w:name="_Toc68774151"/>
      <w:bookmarkStart w:id="782" w:name="_Toc69386918"/>
      <w:bookmarkStart w:id="783" w:name="_Toc69991772"/>
      <w:bookmarkStart w:id="784" w:name="_Toc70509844"/>
      <w:bookmarkStart w:id="785" w:name="_Toc71207400"/>
      <w:bookmarkStart w:id="786" w:name="_Toc71799309"/>
      <w:bookmarkStart w:id="787" w:name="_Toc72414979"/>
      <w:bookmarkStart w:id="788" w:name="_Toc73015458"/>
      <w:bookmarkStart w:id="789" w:name="_Toc73618181"/>
      <w:bookmarkStart w:id="790" w:name="_Toc74224515"/>
      <w:bookmarkStart w:id="791" w:name="_Toc74836034"/>
      <w:bookmarkStart w:id="792" w:name="_Toc75439627"/>
      <w:bookmarkStart w:id="793" w:name="_Toc76033393"/>
      <w:bookmarkStart w:id="794" w:name="_Toc76568187"/>
      <w:bookmarkStart w:id="795" w:name="_Toc77249826"/>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B240DA3" w14:textId="77777777" w:rsidR="007E4CA3" w:rsidRDefault="007E4CA3" w:rsidP="007E4CA3">
      <w:pPr>
        <w:spacing w:after="161" w:line="240" w:lineRule="auto"/>
        <w:outlineLvl w:val="0"/>
        <w:rPr>
          <w:rFonts w:ascii="Times New Roman" w:eastAsia="Times New Roman" w:hAnsi="Times New Roman" w:cs="Times New Roman"/>
          <w:color w:val="000000"/>
          <w:kern w:val="36"/>
          <w:sz w:val="45"/>
          <w:szCs w:val="45"/>
        </w:rPr>
      </w:pPr>
      <w:bookmarkStart w:id="796" w:name="_Toc194671400"/>
      <w:bookmarkStart w:id="797" w:name="_Toc195192236"/>
      <w:bookmarkStart w:id="798" w:name="_Toc195795578"/>
      <w:bookmarkStart w:id="799" w:name="_Toc196395805"/>
      <w:bookmarkStart w:id="800" w:name="_Toc197596764"/>
      <w:bookmarkStart w:id="801" w:name="_Toc198210652"/>
      <w:bookmarkStart w:id="802" w:name="_Toc463600478"/>
      <w:bookmarkStart w:id="803" w:name="_Toc464205364"/>
      <w:bookmarkStart w:id="804" w:name="_Toc464808177"/>
      <w:bookmarkStart w:id="805" w:name="_Toc465341597"/>
      <w:bookmarkStart w:id="806" w:name="_Toc466017262"/>
      <w:bookmarkStart w:id="807" w:name="_Toc466625790"/>
      <w:bookmarkStart w:id="808" w:name="_Toc467231593"/>
      <w:bookmarkStart w:id="809" w:name="_Toc467832931"/>
      <w:bookmarkStart w:id="810" w:name="_Toc468440618"/>
      <w:bookmarkStart w:id="811" w:name="_Toc469043519"/>
      <w:bookmarkStart w:id="812" w:name="_Toc469650550"/>
      <w:bookmarkStart w:id="813" w:name="_Toc472071560"/>
      <w:bookmarkStart w:id="814" w:name="_Toc472672626"/>
      <w:bookmarkStart w:id="815" w:name="_Toc473881024"/>
      <w:bookmarkStart w:id="816" w:name="_Toc474487619"/>
      <w:bookmarkStart w:id="817" w:name="_Toc475090275"/>
      <w:bookmarkStart w:id="818" w:name="_Toc475697901"/>
      <w:bookmarkStart w:id="819" w:name="_Toc476302026"/>
      <w:bookmarkStart w:id="820" w:name="_Toc476906667"/>
      <w:bookmarkStart w:id="821" w:name="_Toc477510757"/>
      <w:bookmarkStart w:id="822" w:name="_Toc478116129"/>
      <w:bookmarkStart w:id="823" w:name="_Toc478723302"/>
      <w:bookmarkStart w:id="824" w:name="_Toc479329721"/>
      <w:bookmarkStart w:id="825" w:name="_Toc479930335"/>
      <w:bookmarkStart w:id="826" w:name="_Toc480539779"/>
      <w:bookmarkStart w:id="827" w:name="_Toc481140005"/>
      <w:bookmarkStart w:id="828" w:name="_Toc482351765"/>
      <w:bookmarkStart w:id="829" w:name="_Toc482956642"/>
      <w:bookmarkStart w:id="830" w:name="_Toc484166274"/>
      <w:bookmarkStart w:id="831" w:name="_Toc484769044"/>
      <w:bookmarkStart w:id="832" w:name="_Toc485286973"/>
      <w:bookmarkStart w:id="833" w:name="_Toc485978057"/>
      <w:bookmarkStart w:id="834" w:name="_Toc486585208"/>
      <w:bookmarkStart w:id="835" w:name="_Toc487190859"/>
      <w:bookmarkStart w:id="836" w:name="_Toc487793137"/>
      <w:bookmarkStart w:id="837" w:name="_Toc488396115"/>
      <w:bookmarkStart w:id="838" w:name="_Toc489005367"/>
      <w:bookmarkStart w:id="839" w:name="_Toc489606931"/>
      <w:bookmarkStart w:id="840" w:name="_Toc490213913"/>
      <w:bookmarkStart w:id="841" w:name="_Toc490819138"/>
      <w:bookmarkStart w:id="842" w:name="_Toc491423502"/>
      <w:bookmarkStart w:id="843" w:name="_Toc492024950"/>
      <w:bookmarkStart w:id="844" w:name="_Toc492631844"/>
      <w:bookmarkStart w:id="845" w:name="_Toc493236274"/>
      <w:bookmarkStart w:id="846" w:name="_Toc493837679"/>
      <w:bookmarkStart w:id="847" w:name="_Toc495050086"/>
      <w:bookmarkStart w:id="848" w:name="_Toc495652591"/>
      <w:bookmarkStart w:id="849" w:name="_Toc496261443"/>
      <w:bookmarkStart w:id="850" w:name="_Toc496867238"/>
      <w:bookmarkStart w:id="851" w:name="_Toc497465801"/>
      <w:bookmarkStart w:id="852" w:name="_Toc498081902"/>
      <w:bookmarkStart w:id="853" w:name="_Toc498682160"/>
      <w:bookmarkStart w:id="854" w:name="_Toc499287557"/>
      <w:bookmarkStart w:id="855" w:name="_Toc499891999"/>
      <w:bookmarkStart w:id="856" w:name="_Toc500496799"/>
      <w:bookmarkStart w:id="857" w:name="_Toc501099743"/>
      <w:bookmarkStart w:id="858" w:name="_Toc501705026"/>
      <w:bookmarkStart w:id="859" w:name="_Toc532560727"/>
      <w:bookmarkStart w:id="860" w:name="_Toc533156853"/>
      <w:bookmarkStart w:id="861" w:name="_Toc533775406"/>
      <w:bookmarkStart w:id="862" w:name="_Toc534372214"/>
      <w:bookmarkStart w:id="863" w:name="_Toc534972014"/>
      <w:bookmarkStart w:id="864" w:name="_Toc535582786"/>
      <w:bookmarkStart w:id="865" w:name="_Toc536187108"/>
      <w:bookmarkStart w:id="866" w:name="_Toc536785396"/>
      <w:bookmarkStart w:id="867" w:name="_Toc1130214"/>
      <w:bookmarkStart w:id="868" w:name="_Toc1727990"/>
      <w:bookmarkStart w:id="869" w:name="_Toc2333101"/>
      <w:bookmarkStart w:id="870" w:name="_Toc2937890"/>
      <w:bookmarkStart w:id="871" w:name="_Toc3543100"/>
      <w:bookmarkStart w:id="872" w:name="_Toc4146395"/>
      <w:bookmarkStart w:id="873" w:name="_Toc4758763"/>
      <w:bookmarkStart w:id="874" w:name="_Toc5357731"/>
      <w:bookmarkStart w:id="875" w:name="_Toc5961968"/>
      <w:bookmarkStart w:id="876" w:name="_Toc6565244"/>
      <w:bookmarkStart w:id="877" w:name="_Toc7172948"/>
      <w:bookmarkStart w:id="878" w:name="_Toc7776795"/>
      <w:bookmarkStart w:id="879" w:name="_Toc8385543"/>
      <w:bookmarkStart w:id="880" w:name="_Toc8986694"/>
      <w:bookmarkStart w:id="881" w:name="_Toc9591448"/>
      <w:bookmarkStart w:id="882" w:name="_Toc10800783"/>
      <w:bookmarkStart w:id="883" w:name="_Toc11403503"/>
      <w:bookmarkStart w:id="884" w:name="_Toc12010889"/>
      <w:bookmarkStart w:id="885" w:name="_Toc12614888"/>
      <w:bookmarkStart w:id="886" w:name="_Toc13219390"/>
      <w:bookmarkStart w:id="887" w:name="_Toc13830741"/>
      <w:bookmarkStart w:id="888" w:name="_Toc14429416"/>
      <w:bookmarkStart w:id="889" w:name="_Toc15034925"/>
      <w:bookmarkStart w:id="890" w:name="_Toc15638242"/>
      <w:bookmarkStart w:id="891" w:name="_Toc16243824"/>
      <w:bookmarkStart w:id="892" w:name="_Toc17453996"/>
      <w:bookmarkStart w:id="893" w:name="_Toc18058964"/>
      <w:bookmarkStart w:id="894" w:name="_Toc18664192"/>
      <w:bookmarkStart w:id="895" w:name="_Toc19268596"/>
      <w:bookmarkStart w:id="896" w:name="_Toc19868202"/>
      <w:bookmarkStart w:id="897" w:name="_Toc20476484"/>
      <w:bookmarkStart w:id="898" w:name="_Toc21082718"/>
      <w:bookmarkStart w:id="899" w:name="_Toc21596850"/>
      <w:bookmarkStart w:id="900" w:name="_Toc22292250"/>
      <w:bookmarkStart w:id="901" w:name="_Toc22902075"/>
      <w:bookmarkStart w:id="902" w:name="_Toc23500788"/>
      <w:bookmarkStart w:id="903" w:name="_Toc24106272"/>
      <w:bookmarkStart w:id="904" w:name="_Toc24708421"/>
      <w:bookmarkStart w:id="905" w:name="_Toc25235416"/>
      <w:bookmarkStart w:id="906" w:name="_Toc25920246"/>
      <w:bookmarkStart w:id="907" w:name="_Toc26524523"/>
      <w:bookmarkStart w:id="908" w:name="_Toc27130360"/>
      <w:bookmarkStart w:id="909" w:name="_Toc28949359"/>
      <w:bookmarkStart w:id="910" w:name="_Toc29553166"/>
      <w:bookmarkStart w:id="911" w:name="_Toc31365286"/>
      <w:bookmarkStart w:id="912" w:name="_Toc31968693"/>
      <w:bookmarkStart w:id="913" w:name="_Toc33177783"/>
      <w:bookmarkStart w:id="914" w:name="_Toc33784207"/>
      <w:bookmarkStart w:id="915" w:name="_Toc34387343"/>
      <w:bookmarkStart w:id="916" w:name="_Toc34992458"/>
      <w:bookmarkStart w:id="917" w:name="_Toc36200910"/>
      <w:bookmarkStart w:id="918" w:name="_Toc36804871"/>
      <w:bookmarkStart w:id="919" w:name="_Toc37412100"/>
      <w:bookmarkStart w:id="920" w:name="_Toc38016894"/>
      <w:bookmarkStart w:id="921" w:name="_Toc38623250"/>
      <w:bookmarkStart w:id="922" w:name="_Toc47007114"/>
      <w:bookmarkStart w:id="923" w:name="_Toc47608057"/>
      <w:bookmarkStart w:id="924" w:name="_Toc48219516"/>
      <w:bookmarkStart w:id="925" w:name="_Toc48816719"/>
      <w:bookmarkStart w:id="926" w:name="_Toc49427958"/>
      <w:bookmarkStart w:id="927" w:name="_Toc50027108"/>
      <w:bookmarkStart w:id="928" w:name="_Toc50638516"/>
      <w:bookmarkStart w:id="929" w:name="_Toc51235723"/>
      <w:bookmarkStart w:id="930" w:name="_Toc51848412"/>
      <w:bookmarkStart w:id="931" w:name="_Toc52453558"/>
      <w:bookmarkStart w:id="932" w:name="_Toc53055809"/>
      <w:bookmarkStart w:id="933" w:name="_Toc53660731"/>
      <w:bookmarkStart w:id="934" w:name="_Toc54259231"/>
      <w:bookmarkStart w:id="935" w:name="_Toc54865648"/>
      <w:bookmarkStart w:id="936" w:name="_Toc55477675"/>
      <w:bookmarkStart w:id="937" w:name="_Toc56073562"/>
      <w:bookmarkStart w:id="938" w:name="_Toc56678769"/>
      <w:bookmarkStart w:id="939" w:name="_Toc57284480"/>
      <w:bookmarkStart w:id="940" w:name="_Toc57895630"/>
      <w:bookmarkStart w:id="941" w:name="_Toc58494294"/>
      <w:bookmarkStart w:id="942" w:name="_Toc59104496"/>
      <w:bookmarkStart w:id="943" w:name="_Toc60922256"/>
      <w:bookmarkStart w:id="944" w:name="_Toc61518222"/>
      <w:bookmarkStart w:id="945" w:name="_Toc62129066"/>
      <w:bookmarkStart w:id="946" w:name="_Toc62734944"/>
      <w:bookmarkStart w:id="947" w:name="_Toc63333219"/>
      <w:bookmarkStart w:id="948" w:name="_Toc65152056"/>
      <w:bookmarkStart w:id="949" w:name="_Toc65759412"/>
      <w:bookmarkStart w:id="950" w:name="_Toc66363552"/>
      <w:bookmarkStart w:id="951" w:name="_Toc66960055"/>
      <w:bookmarkStart w:id="952" w:name="_Toc67652153"/>
      <w:bookmarkStart w:id="953" w:name="_Toc68179927"/>
      <w:bookmarkStart w:id="954" w:name="_Toc68774156"/>
      <w:bookmarkStart w:id="955" w:name="_Toc69386922"/>
      <w:bookmarkStart w:id="956" w:name="_Toc69991775"/>
      <w:bookmarkStart w:id="957" w:name="_Toc70509847"/>
      <w:bookmarkStart w:id="958" w:name="_Toc71207403"/>
      <w:bookmarkStart w:id="959" w:name="_Toc71799314"/>
      <w:bookmarkStart w:id="960" w:name="_Toc72414983"/>
      <w:bookmarkStart w:id="961" w:name="_Toc73015461"/>
      <w:bookmarkStart w:id="962" w:name="_Toc73618184"/>
      <w:bookmarkStart w:id="963" w:name="_Toc74224519"/>
      <w:bookmarkStart w:id="964" w:name="_Toc74836038"/>
      <w:bookmarkStart w:id="965" w:name="_Toc75439630"/>
      <w:bookmarkStart w:id="966" w:name="_Toc76033397"/>
      <w:bookmarkStart w:id="967" w:name="_Toc76568190"/>
      <w:bookmarkStart w:id="968" w:name="_Toc77249830"/>
      <w:bookmarkStart w:id="969" w:name="_Toc77848125"/>
      <w:bookmarkStart w:id="970" w:name="_Toc78458420"/>
      <w:bookmarkStart w:id="971" w:name="_Toc79065743"/>
      <w:bookmarkStart w:id="972" w:name="_Toc79674836"/>
      <w:bookmarkStart w:id="973" w:name="_Toc80967359"/>
      <w:bookmarkStart w:id="974" w:name="_Toc82098811"/>
      <w:bookmarkStart w:id="975" w:name="_Toc82697213"/>
      <w:bookmarkStart w:id="976" w:name="_Toc83296675"/>
      <w:bookmarkStart w:id="977" w:name="_Toc83896636"/>
      <w:bookmarkStart w:id="978" w:name="_Toc84511081"/>
      <w:bookmarkStart w:id="979" w:name="_Toc85126363"/>
      <w:bookmarkStart w:id="980" w:name="_Toc85726072"/>
      <w:bookmarkStart w:id="981" w:name="_Toc86326960"/>
      <w:bookmarkStart w:id="982" w:name="_Toc86928734"/>
      <w:bookmarkStart w:id="983" w:name="_Toc87533870"/>
      <w:bookmarkStart w:id="984" w:name="_Toc88139984"/>
      <w:bookmarkStart w:id="985" w:name="_Toc88827430"/>
      <w:bookmarkStart w:id="986" w:name="_Toc89348607"/>
      <w:bookmarkStart w:id="987" w:name="_Toc89954367"/>
      <w:bookmarkStart w:id="988" w:name="_Toc90547137"/>
      <w:bookmarkStart w:id="989" w:name="_Toc91162885"/>
      <w:bookmarkStart w:id="990" w:name="_Toc92977897"/>
      <w:bookmarkStart w:id="991" w:name="_Toc93582841"/>
      <w:bookmarkStart w:id="992" w:name="_Toc94185887"/>
      <w:bookmarkStart w:id="993" w:name="_Toc124758948"/>
      <w:bookmarkStart w:id="994" w:name="_Toc126243204"/>
      <w:bookmarkStart w:id="995" w:name="_Toc126844380"/>
      <w:bookmarkStart w:id="996" w:name="_Toc127449241"/>
      <w:bookmarkStart w:id="997" w:name="_Toc128057353"/>
      <w:bookmarkStart w:id="998" w:name="_Toc128657904"/>
      <w:bookmarkStart w:id="999" w:name="_Toc129265050"/>
      <w:bookmarkStart w:id="1000" w:name="_Toc129869294"/>
      <w:bookmarkStart w:id="1001" w:name="_Toc130472596"/>
      <w:bookmarkStart w:id="1002" w:name="_Toc131080434"/>
      <w:bookmarkStart w:id="1003" w:name="_Toc131684267"/>
      <w:bookmarkStart w:id="1004" w:name="_Toc132288745"/>
      <w:bookmarkStart w:id="1005" w:name="_Toc132880400"/>
      <w:bookmarkStart w:id="1006" w:name="_Toc133498220"/>
      <w:bookmarkStart w:id="1007" w:name="_Toc134108014"/>
      <w:bookmarkStart w:id="1008" w:name="_Toc134709557"/>
      <w:bookmarkStart w:id="1009" w:name="_Toc134709708"/>
      <w:bookmarkStart w:id="1010" w:name="_Toc135315977"/>
      <w:bookmarkStart w:id="1011" w:name="_Toc135915566"/>
      <w:bookmarkStart w:id="1012" w:name="_Toc136526496"/>
      <w:bookmarkStart w:id="1013" w:name="_Toc137126054"/>
      <w:bookmarkStart w:id="1014" w:name="_Toc137733679"/>
      <w:bookmarkStart w:id="1015" w:name="_Toc138336645"/>
      <w:bookmarkStart w:id="1016" w:name="_Toc138940632"/>
      <w:bookmarkStart w:id="1017" w:name="_Toc139544026"/>
      <w:bookmarkStart w:id="1018" w:name="_Toc140151837"/>
      <w:bookmarkStart w:id="1019" w:name="_Toc140757914"/>
      <w:bookmarkStart w:id="1020" w:name="_Toc141359491"/>
      <w:bookmarkStart w:id="1021" w:name="_Toc141965603"/>
      <w:bookmarkStart w:id="1022" w:name="_Toc142569952"/>
      <w:bookmarkStart w:id="1023" w:name="_Toc143175010"/>
      <w:bookmarkStart w:id="1024" w:name="_Toc143779707"/>
      <w:bookmarkStart w:id="1025" w:name="_Toc144384336"/>
      <w:bookmarkStart w:id="1026" w:name="_Toc144991148"/>
      <w:bookmarkStart w:id="1027" w:name="_Toc145601276"/>
      <w:bookmarkStart w:id="1028" w:name="_Toc146205298"/>
      <w:bookmarkStart w:id="1029" w:name="_Toc146808608"/>
      <w:bookmarkStart w:id="1030" w:name="_Toc147412066"/>
      <w:bookmarkStart w:id="1031" w:name="_Toc148007948"/>
      <w:bookmarkStart w:id="1032" w:name="_Toc148621880"/>
      <w:bookmarkStart w:id="1033" w:name="_Toc149228687"/>
      <w:bookmarkStart w:id="1034" w:name="_Toc149826963"/>
      <w:bookmarkStart w:id="1035" w:name="_Toc434571325"/>
      <w:bookmarkStart w:id="1036" w:name="_Toc435172631"/>
      <w:bookmarkStart w:id="1037" w:name="_Toc435779455"/>
      <w:bookmarkStart w:id="1038" w:name="_Toc436380895"/>
      <w:bookmarkStart w:id="1039" w:name="_Toc431546396"/>
      <w:bookmarkStart w:id="1040" w:name="_Toc432151538"/>
      <w:bookmarkStart w:id="1041" w:name="_Toc432755921"/>
      <w:bookmarkStart w:id="1042" w:name="_Toc433361392"/>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7402D3C" w14:textId="5EFFEC96" w:rsidR="003765E6" w:rsidRPr="003765E6" w:rsidRDefault="003765E6" w:rsidP="007E4CA3">
      <w:pPr>
        <w:spacing w:after="100" w:afterAutospacing="1" w:line="288" w:lineRule="auto"/>
        <w:jc w:val="both"/>
        <w:outlineLvl w:val="0"/>
        <w:rPr>
          <w:rFonts w:ascii="Aptos" w:eastAsia="Times New Roman" w:hAnsi="Aptos" w:cs="Times New Roman"/>
          <w:b/>
          <w:bCs/>
          <w:color w:val="002060"/>
          <w:kern w:val="36"/>
          <w:sz w:val="24"/>
          <w:szCs w:val="24"/>
        </w:rPr>
      </w:pPr>
      <w:bookmarkStart w:id="1043" w:name="_Toc216355055"/>
      <w:proofErr w:type="spellStart"/>
      <w:r w:rsidRPr="003765E6">
        <w:rPr>
          <w:rFonts w:ascii="Aptos" w:eastAsia="Times New Roman" w:hAnsi="Aptos" w:cs="Times New Roman"/>
          <w:b/>
          <w:bCs/>
          <w:color w:val="002060"/>
          <w:kern w:val="36"/>
          <w:sz w:val="24"/>
          <w:szCs w:val="24"/>
        </w:rPr>
        <w:t>FDI</w:t>
      </w:r>
      <w:proofErr w:type="spellEnd"/>
      <w:r w:rsidRPr="003765E6">
        <w:rPr>
          <w:rFonts w:ascii="Aptos" w:eastAsia="Times New Roman" w:hAnsi="Aptos" w:cs="Times New Roman"/>
          <w:b/>
          <w:bCs/>
          <w:color w:val="002060"/>
          <w:kern w:val="36"/>
          <w:sz w:val="24"/>
          <w:szCs w:val="24"/>
        </w:rPr>
        <w:t xml:space="preserve"> in Vietnam jumps on additional capital and share purchases</w:t>
      </w:r>
      <w:bookmarkEnd w:id="1043"/>
    </w:p>
    <w:p w14:paraId="07713517" w14:textId="77C9809B" w:rsidR="003765E6" w:rsidRPr="003765E6" w:rsidRDefault="003765E6" w:rsidP="007E4CA3">
      <w:pPr>
        <w:spacing w:after="100" w:afterAutospacing="1" w:line="288" w:lineRule="auto"/>
        <w:jc w:val="both"/>
        <w:rPr>
          <w:rFonts w:ascii="Aptos" w:eastAsia="Times New Roman" w:hAnsi="Aptos" w:cs="Times New Roman"/>
          <w:i/>
          <w:iCs/>
          <w:color w:val="002060"/>
          <w:sz w:val="18"/>
          <w:szCs w:val="18"/>
        </w:rPr>
      </w:pPr>
      <w:r w:rsidRPr="007E4CA3">
        <w:rPr>
          <w:rFonts w:ascii="Aptos" w:eastAsia="Times New Roman" w:hAnsi="Aptos" w:cs="Times New Roman"/>
          <w:i/>
          <w:iCs/>
          <w:color w:val="002060"/>
          <w:sz w:val="18"/>
          <w:szCs w:val="18"/>
        </w:rPr>
        <w:t>VIR</w:t>
      </w:r>
    </w:p>
    <w:p w14:paraId="1D0E6B8E"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Foreign investment in Vietnam is continuing to rise sharply, driven by capital adjustments and share purchases, despite a slight decrease in newly registered funds.</w:t>
      </w:r>
    </w:p>
    <w:p w14:paraId="35226289"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In the first 11 months of 2025, Vietnam attracted almost $33.7 billion in foreign direct investment (</w:t>
      </w:r>
      <w:proofErr w:type="spellStart"/>
      <w:r w:rsidRPr="003765E6">
        <w:rPr>
          <w:rFonts w:ascii="Aptos" w:eastAsia="Times New Roman" w:hAnsi="Aptos" w:cs="Times New Roman"/>
          <w:color w:val="002060"/>
        </w:rPr>
        <w:t>FDI</w:t>
      </w:r>
      <w:proofErr w:type="spellEnd"/>
      <w:r w:rsidRPr="003765E6">
        <w:rPr>
          <w:rFonts w:ascii="Aptos" w:eastAsia="Times New Roman" w:hAnsi="Aptos" w:cs="Times New Roman"/>
          <w:color w:val="002060"/>
        </w:rPr>
        <w:t>), up 7.4 per cent on-year, according to the Foreign Investment Agency under the Ministry of Finance. Although newly registered capital dipped, the overall increase was driven by strong rises in both adjusted capital and capital contributions.</w:t>
      </w:r>
    </w:p>
    <w:p w14:paraId="032AF5D8"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The period saw more than 3,695 new projects licensed with total pledged capital exceeding $15.9 billion, up 21.7 per cent on-year in number but down 8.2 per cent in value. The adjusted capital for 1,318 ongoing projects reached nearly $11.6 billion, an increase of 17 per cent on-year.</w:t>
      </w:r>
    </w:p>
    <w:p w14:paraId="22260B4E"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There were 3,225 cases of capital contributions and share purchases worth over $6.1 billion, marking a 50.7 per cent rise on-year. In November only, the number of cases reported a slight drop, but total investment in capital contributions and share purchases saw an increase of 12 and 55 per cent on-month, respectively.</w:t>
      </w:r>
    </w:p>
    <w:p w14:paraId="288C6CC8"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 xml:space="preserve">In fact, $23.6 billion of </w:t>
      </w:r>
      <w:proofErr w:type="spellStart"/>
      <w:r w:rsidRPr="003765E6">
        <w:rPr>
          <w:rFonts w:ascii="Aptos" w:eastAsia="Times New Roman" w:hAnsi="Aptos" w:cs="Times New Roman"/>
          <w:color w:val="002060"/>
        </w:rPr>
        <w:t>FDI</w:t>
      </w:r>
      <w:proofErr w:type="spellEnd"/>
      <w:r w:rsidRPr="003765E6">
        <w:rPr>
          <w:rFonts w:ascii="Aptos" w:eastAsia="Times New Roman" w:hAnsi="Aptos" w:cs="Times New Roman"/>
          <w:color w:val="002060"/>
        </w:rPr>
        <w:t xml:space="preserve"> inflows have been disbursed in the first 11 months, up 8.9 per cent on-year.</w:t>
      </w:r>
    </w:p>
    <w:p w14:paraId="2E35FD0A"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lastRenderedPageBreak/>
        <w:t xml:space="preserve">In the 11 months, </w:t>
      </w:r>
      <w:proofErr w:type="spellStart"/>
      <w:r w:rsidRPr="003765E6">
        <w:rPr>
          <w:rFonts w:ascii="Aptos" w:eastAsia="Times New Roman" w:hAnsi="Aptos" w:cs="Times New Roman"/>
          <w:color w:val="002060"/>
        </w:rPr>
        <w:t>FDI</w:t>
      </w:r>
      <w:proofErr w:type="spellEnd"/>
      <w:r w:rsidRPr="003765E6">
        <w:rPr>
          <w:rFonts w:ascii="Aptos" w:eastAsia="Times New Roman" w:hAnsi="Aptos" w:cs="Times New Roman"/>
          <w:color w:val="002060"/>
        </w:rPr>
        <w:t xml:space="preserve"> poured into 18 of 21 sectors. Of these, the processing and manufacturing industry attracted the </w:t>
      </w:r>
      <w:proofErr w:type="gramStart"/>
      <w:r w:rsidRPr="003765E6">
        <w:rPr>
          <w:rFonts w:ascii="Aptos" w:eastAsia="Times New Roman" w:hAnsi="Aptos" w:cs="Times New Roman"/>
          <w:color w:val="002060"/>
        </w:rPr>
        <w:t>most new</w:t>
      </w:r>
      <w:proofErr w:type="gramEnd"/>
      <w:r w:rsidRPr="003765E6">
        <w:rPr>
          <w:rFonts w:ascii="Aptos" w:eastAsia="Times New Roman" w:hAnsi="Aptos" w:cs="Times New Roman"/>
          <w:color w:val="002060"/>
        </w:rPr>
        <w:t xml:space="preserve"> capital, with just over $18.5 billion, accounting for nearly 55 per cent of the total and 8.5 per cent higher than the same period last year. Real estate followed with around $6.5 billion, or roughly 19.3 per cent, up 24.2 per cent on-year. Wholesale, retail, and professional and sci-tech activities were following with $1.9 billion and $1.7 billion, respectively.</w:t>
      </w:r>
    </w:p>
    <w:p w14:paraId="68392DF0" w14:textId="77777777" w:rsidR="003765E6" w:rsidRPr="003765E6"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Among the 110 countries and territories investing in Vietnam over the first 11 months, Singapore led the pack with almost $8.5 billion, accounting for 25.2 per cent of total investment and up 9 per cent on-year. China came next with almost $4.3 billion, around 12.7 per cent and up 18.1 per cent on-year. They were followed by South Korea, Japan, and Hong Kong with $3.6 billion, $3.5 billion, and $3 billion.</w:t>
      </w:r>
    </w:p>
    <w:p w14:paraId="6DF5A0AB" w14:textId="2A3B80AA" w:rsidR="004C6CBE" w:rsidRPr="007E4CA3" w:rsidRDefault="003765E6" w:rsidP="007E4CA3">
      <w:pPr>
        <w:spacing w:after="100" w:afterAutospacing="1" w:line="288" w:lineRule="auto"/>
        <w:jc w:val="both"/>
        <w:rPr>
          <w:rFonts w:ascii="Aptos" w:eastAsia="Times New Roman" w:hAnsi="Aptos" w:cs="Times New Roman"/>
          <w:color w:val="002060"/>
        </w:rPr>
      </w:pPr>
      <w:r w:rsidRPr="003765E6">
        <w:rPr>
          <w:rFonts w:ascii="Aptos" w:eastAsia="Times New Roman" w:hAnsi="Aptos" w:cs="Times New Roman"/>
          <w:color w:val="002060"/>
        </w:rPr>
        <w:t xml:space="preserve">31 cities and provinces across the country have received </w:t>
      </w:r>
      <w:proofErr w:type="spellStart"/>
      <w:r w:rsidRPr="003765E6">
        <w:rPr>
          <w:rFonts w:ascii="Aptos" w:eastAsia="Times New Roman" w:hAnsi="Aptos" w:cs="Times New Roman"/>
          <w:color w:val="002060"/>
        </w:rPr>
        <w:t>FDI</w:t>
      </w:r>
      <w:proofErr w:type="spellEnd"/>
      <w:r w:rsidRPr="003765E6">
        <w:rPr>
          <w:rFonts w:ascii="Aptos" w:eastAsia="Times New Roman" w:hAnsi="Aptos" w:cs="Times New Roman"/>
          <w:color w:val="002060"/>
        </w:rPr>
        <w:t xml:space="preserve">. Ho Chi Minh City ranked first with $6.5 billion, making up 19.4 per cent of total </w:t>
      </w:r>
      <w:proofErr w:type="spellStart"/>
      <w:r w:rsidRPr="003765E6">
        <w:rPr>
          <w:rFonts w:ascii="Aptos" w:eastAsia="Times New Roman" w:hAnsi="Aptos" w:cs="Times New Roman"/>
          <w:color w:val="002060"/>
        </w:rPr>
        <w:t>FDI</w:t>
      </w:r>
      <w:proofErr w:type="spellEnd"/>
      <w:r w:rsidRPr="003765E6">
        <w:rPr>
          <w:rFonts w:ascii="Aptos" w:eastAsia="Times New Roman" w:hAnsi="Aptos" w:cs="Times New Roman"/>
          <w:color w:val="002060"/>
        </w:rPr>
        <w:t>. Hanoi placed second with $4.3 billion, capturing 12.7 per cent. Bac Ninh followed with $4.2 billion, accounting for 12.7 per cent, then Dong Nai, Tay Ninh, and Haiphong.</w:t>
      </w:r>
    </w:p>
    <w:p w14:paraId="184BBCC7" w14:textId="77777777" w:rsidR="00BD1642" w:rsidRPr="004C6CBE" w:rsidRDefault="00FA642B" w:rsidP="00BD1642">
      <w:pPr>
        <w:spacing w:line="288" w:lineRule="auto"/>
        <w:jc w:val="right"/>
        <w:rPr>
          <w:rStyle w:val="Hyperlink"/>
          <w:rFonts w:ascii="Aptos" w:eastAsia="Malgun Gothic" w:hAnsi="Aptos" w:cs="Times New Roman"/>
          <w:color w:val="002060"/>
        </w:rPr>
      </w:pPr>
      <w:hyperlink w:anchor="_top" w:history="1">
        <w:r w:rsidR="00BD1642" w:rsidRPr="004C6CBE">
          <w:rPr>
            <w:rStyle w:val="Hyperlink"/>
            <w:rFonts w:ascii="Aptos" w:eastAsia="Malgun Gothic" w:hAnsi="Aptos" w:cs="Times New Roman"/>
            <w:color w:val="002060"/>
          </w:rPr>
          <w:t>Back to Top</w:t>
        </w:r>
      </w:hyperlink>
    </w:p>
    <w:p w14:paraId="26EF5162" w14:textId="77777777" w:rsidR="007E4CA3" w:rsidRPr="007E4CA3" w:rsidRDefault="007E4CA3" w:rsidP="007E4CA3">
      <w:pPr>
        <w:spacing w:after="161" w:line="240" w:lineRule="auto"/>
        <w:outlineLvl w:val="0"/>
        <w:rPr>
          <w:rFonts w:ascii="Times New Roman" w:eastAsia="Times New Roman" w:hAnsi="Times New Roman" w:cs="Times New Roman"/>
          <w:b/>
          <w:bCs/>
          <w:color w:val="000000"/>
          <w:kern w:val="36"/>
          <w:sz w:val="52"/>
          <w:szCs w:val="52"/>
        </w:rPr>
      </w:pPr>
    </w:p>
    <w:p w14:paraId="400F87BE" w14:textId="0BB12BF0" w:rsidR="007E4CA3" w:rsidRPr="007E4CA3" w:rsidRDefault="007E4CA3" w:rsidP="007E4CA3">
      <w:pPr>
        <w:spacing w:after="161" w:line="288" w:lineRule="auto"/>
        <w:outlineLvl w:val="0"/>
        <w:rPr>
          <w:rFonts w:ascii="Aptos" w:eastAsia="Times New Roman" w:hAnsi="Aptos" w:cs="Times New Roman"/>
          <w:b/>
          <w:bCs/>
          <w:color w:val="002060"/>
          <w:kern w:val="36"/>
          <w:sz w:val="28"/>
          <w:szCs w:val="28"/>
        </w:rPr>
      </w:pPr>
      <w:bookmarkStart w:id="1044" w:name="_Toc216355056"/>
      <w:r w:rsidRPr="007E4CA3">
        <w:rPr>
          <w:rFonts w:ascii="Aptos" w:eastAsia="Times New Roman" w:hAnsi="Aptos" w:cs="Times New Roman"/>
          <w:b/>
          <w:bCs/>
          <w:color w:val="002060"/>
          <w:kern w:val="36"/>
          <w:sz w:val="28"/>
          <w:szCs w:val="28"/>
        </w:rPr>
        <w:t>Fundamentals required for M&amp;A wins</w:t>
      </w:r>
      <w:bookmarkEnd w:id="1044"/>
    </w:p>
    <w:p w14:paraId="5C2706C1" w14:textId="35F4CEE0" w:rsidR="007E4CA3" w:rsidRPr="007E4CA3" w:rsidRDefault="007E4CA3" w:rsidP="007E4CA3">
      <w:pPr>
        <w:spacing w:after="150" w:line="288" w:lineRule="auto"/>
        <w:rPr>
          <w:rFonts w:ascii="Aptos" w:eastAsia="Times New Roman" w:hAnsi="Aptos" w:cs="Times New Roman"/>
          <w:i/>
          <w:iCs/>
          <w:color w:val="002060"/>
          <w:sz w:val="18"/>
          <w:szCs w:val="18"/>
        </w:rPr>
      </w:pPr>
      <w:r w:rsidRPr="007E4CA3">
        <w:rPr>
          <w:rFonts w:ascii="Aptos" w:eastAsia="Times New Roman" w:hAnsi="Aptos" w:cs="Times New Roman"/>
          <w:i/>
          <w:iCs/>
          <w:color w:val="002060"/>
          <w:sz w:val="18"/>
          <w:szCs w:val="18"/>
        </w:rPr>
        <w:t>VIR</w:t>
      </w:r>
    </w:p>
    <w:p w14:paraId="37428017" w14:textId="77777777" w:rsidR="007E4CA3" w:rsidRPr="007E4CA3" w:rsidRDefault="007E4CA3" w:rsidP="007E4CA3">
      <w:pPr>
        <w:spacing w:after="150" w:line="288" w:lineRule="auto"/>
        <w:rPr>
          <w:rFonts w:ascii="Aptos" w:eastAsia="Times New Roman" w:hAnsi="Aptos" w:cs="Times New Roman"/>
          <w:color w:val="002060"/>
        </w:rPr>
      </w:pPr>
    </w:p>
    <w:p w14:paraId="603B100C" w14:textId="77777777" w:rsidR="007E4CA3" w:rsidRPr="007E4CA3" w:rsidRDefault="007E4CA3" w:rsidP="007E4CA3">
      <w:pPr>
        <w:spacing w:after="150" w:line="288" w:lineRule="auto"/>
        <w:jc w:val="both"/>
        <w:rPr>
          <w:rFonts w:ascii="Aptos" w:eastAsia="Times New Roman" w:hAnsi="Aptos" w:cs="Times New Roman"/>
          <w:color w:val="002060"/>
        </w:rPr>
      </w:pPr>
      <w:r w:rsidRPr="007E4CA3">
        <w:rPr>
          <w:rFonts w:ascii="Aptos" w:eastAsia="Times New Roman" w:hAnsi="Aptos" w:cs="Times New Roman"/>
          <w:color w:val="002060"/>
        </w:rPr>
        <w:t xml:space="preserve">Japanese investors are taking meaningful, strategic steps in the Vietnamese market towards a long-term presence in the market. </w:t>
      </w:r>
      <w:proofErr w:type="spellStart"/>
      <w:r w:rsidRPr="007E4CA3">
        <w:rPr>
          <w:rFonts w:ascii="Aptos" w:eastAsia="Times New Roman" w:hAnsi="Aptos" w:cs="Times New Roman"/>
          <w:color w:val="002060"/>
        </w:rPr>
        <w:t>Masataka</w:t>
      </w:r>
      <w:proofErr w:type="spellEnd"/>
      <w:r w:rsidRPr="007E4CA3">
        <w:rPr>
          <w:rFonts w:ascii="Aptos" w:eastAsia="Times New Roman" w:hAnsi="Aptos" w:cs="Times New Roman"/>
          <w:color w:val="002060"/>
        </w:rPr>
        <w:t xml:space="preserve"> “Sam” Yoshida, head of the Cross-border Division at </w:t>
      </w:r>
      <w:proofErr w:type="spellStart"/>
      <w:r w:rsidRPr="007E4CA3">
        <w:rPr>
          <w:rFonts w:ascii="Aptos" w:eastAsia="Times New Roman" w:hAnsi="Aptos" w:cs="Times New Roman"/>
          <w:color w:val="002060"/>
        </w:rPr>
        <w:t>RECOF</w:t>
      </w:r>
      <w:proofErr w:type="spellEnd"/>
      <w:r w:rsidRPr="007E4CA3">
        <w:rPr>
          <w:rFonts w:ascii="Aptos" w:eastAsia="Times New Roman" w:hAnsi="Aptos" w:cs="Times New Roman"/>
          <w:color w:val="002060"/>
        </w:rPr>
        <w:t xml:space="preserve"> Corporation, talked with </w:t>
      </w:r>
      <w:proofErr w:type="spellStart"/>
      <w:r w:rsidRPr="007E4CA3">
        <w:rPr>
          <w:rFonts w:ascii="Aptos" w:eastAsia="Times New Roman" w:hAnsi="Aptos" w:cs="Times New Roman"/>
          <w:color w:val="002060"/>
        </w:rPr>
        <w:t>VIR’s</w:t>
      </w:r>
      <w:proofErr w:type="spellEnd"/>
      <w:r w:rsidRPr="007E4CA3">
        <w:rPr>
          <w:rFonts w:ascii="Aptos" w:eastAsia="Times New Roman" w:hAnsi="Aptos" w:cs="Times New Roman"/>
          <w:color w:val="002060"/>
        </w:rPr>
        <w:t xml:space="preserve"> Thanh Van about the strategies of Japanese dealmakers in Vietnam.</w:t>
      </w:r>
    </w:p>
    <w:p w14:paraId="54E398D0" w14:textId="77777777" w:rsidR="007E4CA3" w:rsidRPr="007E4CA3" w:rsidRDefault="007E4CA3" w:rsidP="007E4CA3">
      <w:pPr>
        <w:spacing w:line="288" w:lineRule="auto"/>
        <w:rPr>
          <w:rFonts w:ascii="Aptos" w:eastAsia="Times New Roman" w:hAnsi="Aptos" w:cs="Times New Roman"/>
          <w:color w:val="002060"/>
        </w:rPr>
      </w:pPr>
      <w:r w:rsidRPr="007E4CA3">
        <w:rPr>
          <w:rFonts w:ascii="Aptos" w:eastAsia="Times New Roman" w:hAnsi="Aptos" w:cs="Times New Roman"/>
          <w:i/>
          <w:iCs/>
          <w:color w:val="002060"/>
        </w:rPr>
        <w:t>In what ways are Japanese investors influencing and shaping the trajectory of Vietnam’s merger and acquisition (M&amp;A) recovery?</w:t>
      </w:r>
    </w:p>
    <w:p w14:paraId="70F49511"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Japanese companies did have concerns over the impact on the tariff issue on Vietnam earlier this year, but Vietnam emerged from this challenge comparably well to the relief of Japanese companies, especially in manufacturing, which have or are planning more production facilities here.</w:t>
      </w:r>
    </w:p>
    <w:p w14:paraId="7207AA74"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Generally speaking, the Japanese corporate sector accumulates ample cash in hand estimated at $2.5 trillion, while the domestic market offers limited investment opportunities, Furthermore, in the case of listed companies in particular, their shareholders continue to put pressure on them to grow further.</w:t>
      </w:r>
    </w:p>
    <w:p w14:paraId="2B2318F5"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Japanese companies were not as dynamic in the M&amp;A market as expected in 2025, but we believe their ample funds and confidence in investing in the burgeoning Vietnamese economy substantially supported the growth of the M&amp;A market.</w:t>
      </w:r>
    </w:p>
    <w:p w14:paraId="7C81295F"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i/>
          <w:iCs/>
          <w:color w:val="002060"/>
        </w:rPr>
        <w:t>Could you share the pace of Japanese dealmaking activity in Vietnam in comparison with regional peers?</w:t>
      </w:r>
    </w:p>
    <w:p w14:paraId="021D0E76"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lastRenderedPageBreak/>
        <w:t xml:space="preserve">Japanese companies are keeping good pace of M&amp;A activities this year, with the publicly disclosed transactions of 19 until November according to </w:t>
      </w:r>
      <w:proofErr w:type="spellStart"/>
      <w:r w:rsidRPr="007E4CA3">
        <w:rPr>
          <w:rFonts w:ascii="Aptos" w:eastAsia="Times New Roman" w:hAnsi="Aptos" w:cs="Times New Roman"/>
          <w:color w:val="002060"/>
        </w:rPr>
        <w:t>RECOF’s</w:t>
      </w:r>
      <w:proofErr w:type="spellEnd"/>
      <w:r w:rsidRPr="007E4CA3">
        <w:rPr>
          <w:rFonts w:ascii="Aptos" w:eastAsia="Times New Roman" w:hAnsi="Aptos" w:cs="Times New Roman"/>
          <w:color w:val="002060"/>
        </w:rPr>
        <w:t xml:space="preserve"> M&amp;A database, with a stable second position after Singapore in terms of M&amp;A investment destination from Japan in the region.</w:t>
      </w:r>
    </w:p>
    <w:p w14:paraId="2FC07C8A"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 xml:space="preserve">We saw the investment flow into diverse sectors with a wide range of investors in terms of their size. </w:t>
      </w:r>
      <w:proofErr w:type="spellStart"/>
      <w:r w:rsidRPr="007E4CA3">
        <w:rPr>
          <w:rFonts w:ascii="Aptos" w:eastAsia="Times New Roman" w:hAnsi="Aptos" w:cs="Times New Roman"/>
          <w:color w:val="002060"/>
        </w:rPr>
        <w:t>Dynapac</w:t>
      </w:r>
      <w:proofErr w:type="spellEnd"/>
      <w:r w:rsidRPr="007E4CA3">
        <w:rPr>
          <w:rFonts w:ascii="Aptos" w:eastAsia="Times New Roman" w:hAnsi="Aptos" w:cs="Times New Roman"/>
          <w:color w:val="002060"/>
        </w:rPr>
        <w:t xml:space="preserve"> (paper packaging), </w:t>
      </w:r>
      <w:proofErr w:type="spellStart"/>
      <w:r w:rsidRPr="007E4CA3">
        <w:rPr>
          <w:rFonts w:ascii="Aptos" w:eastAsia="Times New Roman" w:hAnsi="Aptos" w:cs="Times New Roman"/>
          <w:color w:val="002060"/>
        </w:rPr>
        <w:t>Kawanishi</w:t>
      </w:r>
      <w:proofErr w:type="spellEnd"/>
      <w:r w:rsidRPr="007E4CA3">
        <w:rPr>
          <w:rFonts w:ascii="Aptos" w:eastAsia="Times New Roman" w:hAnsi="Aptos" w:cs="Times New Roman"/>
          <w:color w:val="002060"/>
        </w:rPr>
        <w:t xml:space="preserve"> Warehouse (cold storage), and T. Hasegawa (fragrances production) are examples showing that multinationals and conglomerates are not the only investors from Japan. Mid-sized companies (in this case, market cap of $100 million to $1 billion) are more in need of quickly securing positions in Southeast Asia though acquisitions because they were relatively late in expanding outside Japan.</w:t>
      </w:r>
    </w:p>
    <w:p w14:paraId="06769268"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i/>
          <w:iCs/>
          <w:color w:val="002060"/>
        </w:rPr>
        <w:t>How do Japanese investors navigate Vietnam’s M&amp;A landscape amid global volatility?</w:t>
      </w:r>
    </w:p>
    <w:p w14:paraId="0DDB42DA"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Japanese companies remain to be keen in setting up their foothold in Vietnam. The fitness between Vietnam and Japan have been unchanged with the stable long-term government relationship and common cultural factors. As long as the Vietnamese economy remains open to major markets such Europe, America and Southeast Asia, which are also crucial to Japanese companies, they will maintain their investment priority on Vietnam.</w:t>
      </w:r>
    </w:p>
    <w:p w14:paraId="2FA058F9"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More concerning, Vietnam’s M&amp;A market witnesses the increasing competition with the dynamic investors from South Korea, Singapore, Thailand, and others. While keeping the long-term strategic view, Japanese companies are increasingly cautious in taking steps to implement the overseas investment, largely due to strict shareholder requirements on the corporate governance.</w:t>
      </w:r>
    </w:p>
    <w:p w14:paraId="35820FA4"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In the past decade, Japanese companies learnt a lot about the market environment and business practices in Vietnam and felt comfortable to invest. However, it is challenging to catch up with the rapid pace of the changing market, while competing with the investors from peer countries. Japanese companies should commit to its core competence and long-term strategic view in order to survive and succeed in this market.</w:t>
      </w:r>
    </w:p>
    <w:p w14:paraId="599ECF7B"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i/>
          <w:iCs/>
          <w:color w:val="002060"/>
        </w:rPr>
        <w:t>Having worked in Vietnam’s M&amp;A market through ups and downs, how do you see Vietnam seeking strategic investment capital from Japan?</w:t>
      </w:r>
    </w:p>
    <w:p w14:paraId="3C8A97C5"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 xml:space="preserve">The Vietnamese government policies on regulatory reforms are being promoted towards the appropriate directions. For </w:t>
      </w:r>
      <w:proofErr w:type="spellStart"/>
      <w:r w:rsidRPr="007E4CA3">
        <w:rPr>
          <w:rFonts w:ascii="Aptos" w:eastAsia="Times New Roman" w:hAnsi="Aptos" w:cs="Times New Roman"/>
          <w:color w:val="002060"/>
        </w:rPr>
        <w:t>RECOF</w:t>
      </w:r>
      <w:proofErr w:type="spellEnd"/>
      <w:r w:rsidRPr="007E4CA3">
        <w:rPr>
          <w:rFonts w:ascii="Aptos" w:eastAsia="Times New Roman" w:hAnsi="Aptos" w:cs="Times New Roman"/>
          <w:color w:val="002060"/>
        </w:rPr>
        <w:t xml:space="preserve"> to successfully support the Japanese investors in transactions, it is essential to have the ability to predict the manner with which the reforms will be implemented in terms of timing and degree/level of such implementation.</w:t>
      </w:r>
    </w:p>
    <w:p w14:paraId="2BED4499"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One of the practical ways to immediately enhance our ability is to strengthen and enlarge our existing network to the advisory society such as law firms, accounting and tax consultants, as their insights would be indispensable.</w:t>
      </w:r>
    </w:p>
    <w:p w14:paraId="486D67DD"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This network enlargement should be especially addressed to the local legal community.</w:t>
      </w:r>
    </w:p>
    <w:p w14:paraId="283671A9"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i/>
          <w:iCs/>
          <w:color w:val="002060"/>
        </w:rPr>
        <w:t xml:space="preserve">What measures are needed to lure foreign investment via M&amp;A to </w:t>
      </w:r>
      <w:proofErr w:type="spellStart"/>
      <w:r w:rsidRPr="007E4CA3">
        <w:rPr>
          <w:rFonts w:ascii="Aptos" w:eastAsia="Times New Roman" w:hAnsi="Aptos" w:cs="Times New Roman"/>
          <w:i/>
          <w:iCs/>
          <w:color w:val="002060"/>
        </w:rPr>
        <w:t>realise</w:t>
      </w:r>
      <w:proofErr w:type="spellEnd"/>
      <w:r w:rsidRPr="007E4CA3">
        <w:rPr>
          <w:rFonts w:ascii="Aptos" w:eastAsia="Times New Roman" w:hAnsi="Aptos" w:cs="Times New Roman"/>
          <w:i/>
          <w:iCs/>
          <w:color w:val="002060"/>
        </w:rPr>
        <w:t xml:space="preserve"> Vietnam’s double-digit growth goal next year?</w:t>
      </w:r>
    </w:p>
    <w:p w14:paraId="4BB33B35"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As Vietnam targets high growth, strengthening investor confidence will be essential, and we believe the government is already taking the right steps in that direction.</w:t>
      </w:r>
    </w:p>
    <w:p w14:paraId="35F33FCA"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 xml:space="preserve">Firstly, improving policy predictability and legal transparency remains the most impactful measure. Consistent implementation of revised land, housing, and real estate laws, along with clearer guidance on foreign ownership </w:t>
      </w:r>
      <w:r w:rsidRPr="007E4CA3">
        <w:rPr>
          <w:rFonts w:ascii="Aptos" w:eastAsia="Times New Roman" w:hAnsi="Aptos" w:cs="Times New Roman"/>
          <w:color w:val="002060"/>
        </w:rPr>
        <w:lastRenderedPageBreak/>
        <w:t xml:space="preserve">and merger-control procedures, will reduce execution risks. Recent government efforts to streamline approvals and </w:t>
      </w:r>
      <w:proofErr w:type="spellStart"/>
      <w:r w:rsidRPr="007E4CA3">
        <w:rPr>
          <w:rFonts w:ascii="Aptos" w:eastAsia="Times New Roman" w:hAnsi="Aptos" w:cs="Times New Roman"/>
          <w:color w:val="002060"/>
        </w:rPr>
        <w:t>harmonise</w:t>
      </w:r>
      <w:proofErr w:type="spellEnd"/>
      <w:r w:rsidRPr="007E4CA3">
        <w:rPr>
          <w:rFonts w:ascii="Aptos" w:eastAsia="Times New Roman" w:hAnsi="Aptos" w:cs="Times New Roman"/>
          <w:color w:val="002060"/>
        </w:rPr>
        <w:t xml:space="preserve"> regulations are positive signals welcomed by foreign investors.</w:t>
      </w:r>
    </w:p>
    <w:p w14:paraId="4FE2F290" w14:textId="77777777" w:rsidR="007E4CA3" w:rsidRPr="007E4CA3" w:rsidRDefault="007E4CA3" w:rsidP="007E4CA3">
      <w:pPr>
        <w:spacing w:after="225" w:line="288" w:lineRule="auto"/>
        <w:rPr>
          <w:rFonts w:ascii="Aptos" w:eastAsia="Times New Roman" w:hAnsi="Aptos" w:cs="Times New Roman"/>
          <w:color w:val="002060"/>
        </w:rPr>
      </w:pPr>
      <w:r w:rsidRPr="007E4CA3">
        <w:rPr>
          <w:rFonts w:ascii="Aptos" w:eastAsia="Times New Roman" w:hAnsi="Aptos" w:cs="Times New Roman"/>
          <w:color w:val="002060"/>
        </w:rPr>
        <w:t>Secondly, enhancing the quality of assets and deal processes is critical. Promoting IFRS adoption, transparent governance frameworks, and professional FA-led preparation will make Vietnamese companies more investment-ready. This aligns well with ongoing initiatives on corporate governance and tax transparency.</w:t>
      </w:r>
    </w:p>
    <w:p w14:paraId="79293D12" w14:textId="1661FEDE" w:rsidR="00D00A99" w:rsidRDefault="007E4CA3" w:rsidP="007E4CA3">
      <w:pPr>
        <w:spacing w:line="288" w:lineRule="auto"/>
        <w:rPr>
          <w:rFonts w:ascii="Aptos" w:eastAsia="Times New Roman" w:hAnsi="Aptos" w:cs="Times New Roman"/>
          <w:color w:val="002060"/>
        </w:rPr>
      </w:pPr>
      <w:r w:rsidRPr="007E4CA3">
        <w:rPr>
          <w:rFonts w:ascii="Aptos" w:eastAsia="Times New Roman" w:hAnsi="Aptos" w:cs="Times New Roman"/>
          <w:color w:val="002060"/>
        </w:rPr>
        <w:t>Thirdly, long-term fundamentals must continue to be strengthened. The government’s focus on energy security, infrastructure, human capital upgrading, and capital market reform demonstrates a commitment to supporting foreign investment.</w:t>
      </w:r>
    </w:p>
    <w:p w14:paraId="46844A58" w14:textId="77777777" w:rsidR="007E4CA3" w:rsidRPr="007E4CA3" w:rsidRDefault="007E4CA3" w:rsidP="007E4CA3">
      <w:pPr>
        <w:spacing w:line="288" w:lineRule="auto"/>
        <w:rPr>
          <w:rFonts w:ascii="Aptos" w:eastAsia="Times New Roman" w:hAnsi="Aptos" w:cs="Times New Roman"/>
          <w:color w:val="002060"/>
        </w:rPr>
      </w:pPr>
    </w:p>
    <w:bookmarkStart w:id="1045" w:name="_Toc198816068"/>
    <w:bookmarkStart w:id="1046" w:name="_Toc199419430"/>
    <w:bookmarkStart w:id="1047" w:name="_Toc200013603"/>
    <w:bookmarkStart w:id="1048" w:name="_Toc200628579"/>
    <w:bookmarkStart w:id="1049" w:name="_Toc201837361"/>
    <w:bookmarkStart w:id="1050" w:name="_Toc202445696"/>
    <w:bookmarkStart w:id="1051" w:name="_Toc203047562"/>
    <w:bookmarkStart w:id="1052" w:name="_Toc203655866"/>
    <w:bookmarkStart w:id="1053" w:name="_Toc204262804"/>
    <w:bookmarkStart w:id="1054" w:name="_Toc204862963"/>
    <w:bookmarkStart w:id="1055" w:name="_Toc205466591"/>
    <w:bookmarkStart w:id="1056" w:name="_Toc206074509"/>
    <w:bookmarkStart w:id="1057" w:name="_Toc207184403"/>
    <w:bookmarkStart w:id="1058" w:name="_Toc207888607"/>
    <w:bookmarkStart w:id="1059" w:name="_Toc208493631"/>
    <w:bookmarkStart w:id="1060" w:name="_Toc208493709"/>
    <w:bookmarkStart w:id="1061" w:name="_Toc209099453"/>
    <w:bookmarkStart w:id="1062" w:name="_Toc209702680"/>
    <w:bookmarkStart w:id="1063" w:name="_Toc210305244"/>
    <w:bookmarkStart w:id="1064" w:name="_Toc210911922"/>
    <w:bookmarkStart w:id="1065" w:name="_Toc210912014"/>
    <w:bookmarkStart w:id="1066" w:name="_Toc211518245"/>
    <w:bookmarkStart w:id="1067" w:name="_Toc212118928"/>
    <w:bookmarkStart w:id="1068" w:name="_Toc212726921"/>
    <w:bookmarkStart w:id="1069" w:name="_Toc213334257"/>
    <w:bookmarkStart w:id="1070" w:name="_Toc213924606"/>
    <w:p w14:paraId="200E648D" w14:textId="77777777" w:rsidR="00CC149E" w:rsidRPr="004C6CBE" w:rsidRDefault="00CC149E" w:rsidP="00CC149E">
      <w:pPr>
        <w:spacing w:line="288" w:lineRule="auto"/>
        <w:jc w:val="right"/>
        <w:rPr>
          <w:rStyle w:val="Hyperlink"/>
          <w:rFonts w:ascii="Aptos" w:hAnsi="Aptos"/>
          <w:color w:val="002060"/>
        </w:rPr>
      </w:pPr>
      <w:r w:rsidRPr="004C6CBE">
        <w:rPr>
          <w:rStyle w:val="Hyperlink"/>
          <w:rFonts w:ascii="Aptos" w:hAnsi="Aptos"/>
          <w:color w:val="002060"/>
        </w:rPr>
        <w:fldChar w:fldCharType="begin"/>
      </w:r>
      <w:r w:rsidRPr="004C6CBE">
        <w:rPr>
          <w:rStyle w:val="Hyperlink"/>
          <w:rFonts w:ascii="Aptos" w:hAnsi="Aptos"/>
          <w:color w:val="002060"/>
        </w:rPr>
        <w:instrText>HYPERLINK \l "_top"</w:instrText>
      </w:r>
      <w:r w:rsidRPr="004C6CBE">
        <w:rPr>
          <w:rStyle w:val="Hyperlink"/>
          <w:rFonts w:ascii="Aptos" w:hAnsi="Aptos"/>
          <w:color w:val="002060"/>
        </w:rPr>
      </w:r>
      <w:r w:rsidRPr="004C6CBE">
        <w:rPr>
          <w:rStyle w:val="Hyperlink"/>
          <w:rFonts w:ascii="Aptos" w:hAnsi="Aptos"/>
          <w:color w:val="002060"/>
        </w:rPr>
        <w:fldChar w:fldCharType="separate"/>
      </w:r>
      <w:r w:rsidRPr="004C6CBE">
        <w:rPr>
          <w:rStyle w:val="Hyperlink"/>
          <w:rFonts w:ascii="Aptos" w:eastAsia="Malgun Gothic" w:hAnsi="Aptos" w:cs="Times New Roman"/>
          <w:color w:val="002060"/>
        </w:rPr>
        <w:t>Back to Top</w:t>
      </w:r>
      <w:r w:rsidRPr="004C6CBE">
        <w:rPr>
          <w:rStyle w:val="Hyperlink"/>
          <w:rFonts w:ascii="Aptos" w:hAnsi="Aptos"/>
          <w:color w:val="002060"/>
        </w:rPr>
        <w:fldChar w:fldCharType="end"/>
      </w:r>
    </w:p>
    <w:p w14:paraId="4B5C650D" w14:textId="77777777" w:rsidR="003112A8" w:rsidRPr="004C6CBE" w:rsidRDefault="003112A8" w:rsidP="004F381D">
      <w:pPr>
        <w:pStyle w:val="Heading1"/>
        <w:shd w:val="clear" w:color="auto" w:fill="FFFFFF"/>
        <w:spacing w:before="0" w:line="288" w:lineRule="atLeast"/>
        <w:rPr>
          <w:rFonts w:ascii="Aptos" w:eastAsia="Malgun Gothic" w:hAnsi="Aptos" w:cs="Times New Roman"/>
          <w:color w:val="002060"/>
        </w:rPr>
      </w:pPr>
    </w:p>
    <w:p w14:paraId="7FB3C5F8" w14:textId="77777777" w:rsidR="007106AE" w:rsidRPr="004C6CBE" w:rsidRDefault="007106AE" w:rsidP="004F381D">
      <w:pPr>
        <w:pStyle w:val="Heading1"/>
        <w:shd w:val="clear" w:color="auto" w:fill="FFFFFF"/>
        <w:spacing w:before="0" w:line="288" w:lineRule="atLeast"/>
        <w:rPr>
          <w:rFonts w:ascii="Aptos" w:eastAsia="Malgun Gothic" w:hAnsi="Aptos" w:cs="Times New Roman"/>
          <w:color w:val="002060"/>
        </w:rPr>
      </w:pPr>
    </w:p>
    <w:p w14:paraId="47FCDD77" w14:textId="77777777" w:rsidR="002632D8" w:rsidRDefault="002632D8" w:rsidP="00105440">
      <w:pPr>
        <w:pStyle w:val="Heading1"/>
        <w:shd w:val="clear" w:color="auto" w:fill="FFFFFF"/>
        <w:spacing w:before="0" w:line="288" w:lineRule="atLeast"/>
        <w:rPr>
          <w:rFonts w:ascii="Aptos" w:eastAsia="Malgun Gothic" w:hAnsi="Aptos" w:cs="Times New Roman"/>
          <w:color w:val="002060"/>
        </w:rPr>
      </w:pPr>
      <w:bookmarkStart w:id="1071" w:name="_Toc214539948"/>
      <w:bookmarkStart w:id="1072" w:name="_Toc215144383"/>
      <w:bookmarkStart w:id="1073" w:name="_Toc215750962"/>
    </w:p>
    <w:p w14:paraId="56C204B0" w14:textId="4149D1A7" w:rsidR="00105440" w:rsidRDefault="00664BCE" w:rsidP="00105440">
      <w:pPr>
        <w:pStyle w:val="Heading1"/>
        <w:shd w:val="clear" w:color="auto" w:fill="FFFFFF"/>
        <w:spacing w:before="0" w:line="288" w:lineRule="atLeast"/>
        <w:rPr>
          <w:rFonts w:ascii="Aptos" w:eastAsia="Malgun Gothic" w:hAnsi="Aptos" w:cs="Times New Roman"/>
          <w:color w:val="002060"/>
        </w:rPr>
      </w:pPr>
      <w:bookmarkStart w:id="1074" w:name="_Toc216355057"/>
      <w:r w:rsidRPr="004C6CBE">
        <w:rPr>
          <w:rFonts w:ascii="Aptos" w:eastAsia="Malgun Gothic" w:hAnsi="Aptos" w:cs="Times New Roman"/>
          <w:color w:val="002060"/>
        </w:rPr>
        <w:t>PROPERTY</w:t>
      </w:r>
      <w:bookmarkEnd w:id="796"/>
      <w:bookmarkEnd w:id="797"/>
      <w:bookmarkEnd w:id="798"/>
      <w:bookmarkEnd w:id="799"/>
      <w:bookmarkEnd w:id="800"/>
      <w:bookmarkEnd w:id="801"/>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6D888DFE" w14:textId="77777777" w:rsidR="00F675E0" w:rsidRPr="00F675E0" w:rsidRDefault="00F675E0" w:rsidP="00F675E0"/>
    <w:p w14:paraId="795670A0" w14:textId="77777777" w:rsidR="00F675E0" w:rsidRPr="00F675E0" w:rsidRDefault="00F675E0" w:rsidP="00F675E0">
      <w:pPr>
        <w:spacing w:after="150" w:line="288" w:lineRule="auto"/>
        <w:jc w:val="both"/>
        <w:outlineLvl w:val="0"/>
        <w:rPr>
          <w:rFonts w:ascii="Aptos" w:eastAsia="Times New Roman" w:hAnsi="Aptos" w:cs="Times New Roman"/>
          <w:b/>
          <w:bCs/>
          <w:color w:val="002060"/>
          <w:kern w:val="36"/>
          <w:sz w:val="24"/>
          <w:szCs w:val="24"/>
        </w:rPr>
      </w:pPr>
      <w:bookmarkStart w:id="1075" w:name="_Toc216355058"/>
      <w:r w:rsidRPr="00F675E0">
        <w:rPr>
          <w:rFonts w:ascii="Aptos" w:eastAsia="Times New Roman" w:hAnsi="Aptos" w:cs="Times New Roman"/>
          <w:b/>
          <w:bCs/>
          <w:color w:val="002060"/>
          <w:kern w:val="36"/>
          <w:sz w:val="24"/>
          <w:szCs w:val="24"/>
        </w:rPr>
        <w:t>Satellite cities to be </w:t>
      </w:r>
      <w:proofErr w:type="spellStart"/>
      <w:r w:rsidRPr="00F675E0">
        <w:rPr>
          <w:rFonts w:ascii="Aptos" w:eastAsia="Times New Roman" w:hAnsi="Aptos" w:cs="Times New Roman"/>
          <w:b/>
          <w:bCs/>
          <w:color w:val="002060"/>
          <w:kern w:val="36"/>
          <w:sz w:val="24"/>
          <w:szCs w:val="24"/>
        </w:rPr>
        <w:t>centres</w:t>
      </w:r>
      <w:proofErr w:type="spellEnd"/>
      <w:r w:rsidRPr="00F675E0">
        <w:rPr>
          <w:rFonts w:ascii="Aptos" w:eastAsia="Times New Roman" w:hAnsi="Aptos" w:cs="Times New Roman"/>
          <w:b/>
          <w:bCs/>
          <w:color w:val="002060"/>
          <w:kern w:val="36"/>
          <w:sz w:val="24"/>
          <w:szCs w:val="24"/>
        </w:rPr>
        <w:t xml:space="preserve"> of real estate development for next decade: Savills</w:t>
      </w:r>
      <w:bookmarkEnd w:id="1075"/>
    </w:p>
    <w:p w14:paraId="138CA862" w14:textId="47EC1EEF" w:rsidR="00F675E0" w:rsidRPr="00F675E0" w:rsidRDefault="00F675E0" w:rsidP="00F675E0">
      <w:pPr>
        <w:spacing w:after="150" w:line="288" w:lineRule="auto"/>
        <w:jc w:val="both"/>
        <w:outlineLvl w:val="0"/>
        <w:rPr>
          <w:rFonts w:ascii="Aptos" w:eastAsia="Times New Roman" w:hAnsi="Aptos" w:cs="Times New Roman"/>
          <w:i/>
          <w:iCs/>
          <w:color w:val="002060"/>
          <w:kern w:val="36"/>
          <w:sz w:val="18"/>
          <w:szCs w:val="18"/>
        </w:rPr>
      </w:pPr>
      <w:bookmarkStart w:id="1076" w:name="_Toc216355059"/>
      <w:r w:rsidRPr="00F675E0">
        <w:rPr>
          <w:rFonts w:ascii="Aptos" w:eastAsia="Times New Roman" w:hAnsi="Aptos" w:cs="Times New Roman"/>
          <w:i/>
          <w:iCs/>
          <w:color w:val="002060"/>
          <w:kern w:val="36"/>
          <w:sz w:val="18"/>
          <w:szCs w:val="18"/>
        </w:rPr>
        <w:t>VNS</w:t>
      </w:r>
      <w:bookmarkEnd w:id="1076"/>
    </w:p>
    <w:p w14:paraId="62DB8CF1" w14:textId="77777777" w:rsidR="00F675E0" w:rsidRPr="00F675E0" w:rsidRDefault="00F675E0" w:rsidP="00F675E0">
      <w:pPr>
        <w:spacing w:after="150" w:line="288" w:lineRule="auto"/>
        <w:jc w:val="both"/>
        <w:outlineLvl w:val="0"/>
        <w:rPr>
          <w:rFonts w:ascii="Aptos" w:eastAsia="Times New Roman" w:hAnsi="Aptos" w:cs="Times New Roman"/>
          <w:color w:val="002060"/>
          <w:kern w:val="36"/>
        </w:rPr>
      </w:pPr>
    </w:p>
    <w:p w14:paraId="39647D79" w14:textId="72341991"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Infrastructure will be the most critical growth driver for the next decade, according to Savills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w:t>
      </w:r>
    </w:p>
    <w:p w14:paraId="5F2E6C4A"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Infrastructure investment </w:t>
      </w:r>
      <w:proofErr w:type="spellStart"/>
      <w:r w:rsidRPr="00F675E0">
        <w:rPr>
          <w:rFonts w:ascii="Aptos" w:eastAsia="Times New Roman" w:hAnsi="Aptos" w:cs="Segoe UI"/>
          <w:color w:val="002060"/>
        </w:rPr>
        <w:t>totalling</w:t>
      </w:r>
      <w:proofErr w:type="spellEnd"/>
      <w:r w:rsidRPr="00F675E0">
        <w:rPr>
          <w:rFonts w:ascii="Aptos" w:eastAsia="Times New Roman" w:hAnsi="Aptos" w:cs="Segoe UI"/>
          <w:color w:val="002060"/>
        </w:rPr>
        <w:t xml:space="preserve"> </w:t>
      </w:r>
      <w:proofErr w:type="spellStart"/>
      <w:r w:rsidRPr="00F675E0">
        <w:rPr>
          <w:rFonts w:ascii="Aptos" w:eastAsia="Times New Roman" w:hAnsi="Aptos" w:cs="Segoe UI"/>
          <w:color w:val="002060"/>
        </w:rPr>
        <w:t>US$49</w:t>
      </w:r>
      <w:proofErr w:type="spellEnd"/>
      <w:r w:rsidRPr="00F675E0">
        <w:rPr>
          <w:rFonts w:ascii="Aptos" w:eastAsia="Times New Roman" w:hAnsi="Aptos" w:cs="Segoe UI"/>
          <w:color w:val="002060"/>
        </w:rPr>
        <w:t xml:space="preserve"> billion is being deployed nationwide, including the North-South Expressway, Long Thành International Airport, Ring Road systems, and LNG projects.</w:t>
      </w:r>
    </w:p>
    <w:p w14:paraId="12FD2ADA"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Once completed, these networks will redefine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Nam’s urban landscape, connecting emerging growth hubs and expanding development corridors across secondary cities such as Bình </w:t>
      </w:r>
      <w:proofErr w:type="spellStart"/>
      <w:r w:rsidRPr="00F675E0">
        <w:rPr>
          <w:rFonts w:ascii="Aptos" w:eastAsia="Times New Roman" w:hAnsi="Aptos" w:cs="Segoe UI"/>
          <w:color w:val="002060"/>
        </w:rPr>
        <w:t>Dương</w:t>
      </w:r>
      <w:proofErr w:type="spellEnd"/>
      <w:r w:rsidRPr="00F675E0">
        <w:rPr>
          <w:rFonts w:ascii="Aptos" w:eastAsia="Times New Roman" w:hAnsi="Aptos" w:cs="Segoe UI"/>
          <w:color w:val="002060"/>
        </w:rPr>
        <w:t xml:space="preserve">, </w:t>
      </w:r>
      <w:proofErr w:type="spellStart"/>
      <w:r w:rsidRPr="00F675E0">
        <w:rPr>
          <w:rFonts w:ascii="Aptos" w:eastAsia="Times New Roman" w:hAnsi="Aptos" w:cs="Segoe UI"/>
          <w:color w:val="002060"/>
        </w:rPr>
        <w:t>Đồng</w:t>
      </w:r>
      <w:proofErr w:type="spellEnd"/>
      <w:r w:rsidRPr="00F675E0">
        <w:rPr>
          <w:rFonts w:ascii="Aptos" w:eastAsia="Times New Roman" w:hAnsi="Aptos" w:cs="Segoe UI"/>
          <w:color w:val="002060"/>
        </w:rPr>
        <w:t xml:space="preserve"> Nai, </w:t>
      </w:r>
      <w:proofErr w:type="spellStart"/>
      <w:r w:rsidRPr="00F675E0">
        <w:rPr>
          <w:rFonts w:ascii="Aptos" w:eastAsia="Times New Roman" w:hAnsi="Aptos" w:cs="Segoe UI"/>
          <w:color w:val="002060"/>
        </w:rPr>
        <w:t>Hải</w:t>
      </w:r>
      <w:proofErr w:type="spellEnd"/>
      <w:r w:rsidRPr="00F675E0">
        <w:rPr>
          <w:rFonts w:ascii="Aptos" w:eastAsia="Times New Roman" w:hAnsi="Aptos" w:cs="Segoe UI"/>
          <w:color w:val="002060"/>
        </w:rPr>
        <w:t xml:space="preserve"> </w:t>
      </w:r>
      <w:proofErr w:type="spellStart"/>
      <w:r w:rsidRPr="00F675E0">
        <w:rPr>
          <w:rFonts w:ascii="Aptos" w:eastAsia="Times New Roman" w:hAnsi="Aptos" w:cs="Segoe UI"/>
          <w:color w:val="002060"/>
        </w:rPr>
        <w:t>Phòng</w:t>
      </w:r>
      <w:proofErr w:type="spellEnd"/>
      <w:r w:rsidRPr="00F675E0">
        <w:rPr>
          <w:rFonts w:ascii="Aptos" w:eastAsia="Times New Roman" w:hAnsi="Aptos" w:cs="Segoe UI"/>
          <w:color w:val="002060"/>
        </w:rPr>
        <w:t xml:space="preserve">, and </w:t>
      </w:r>
      <w:proofErr w:type="spellStart"/>
      <w:r w:rsidRPr="00F675E0">
        <w:rPr>
          <w:rFonts w:ascii="Aptos" w:eastAsia="Times New Roman" w:hAnsi="Aptos" w:cs="Segoe UI"/>
          <w:color w:val="002060"/>
        </w:rPr>
        <w:t>Quảng</w:t>
      </w:r>
      <w:proofErr w:type="spellEnd"/>
      <w:r w:rsidRPr="00F675E0">
        <w:rPr>
          <w:rFonts w:ascii="Aptos" w:eastAsia="Times New Roman" w:hAnsi="Aptos" w:cs="Segoe UI"/>
          <w:color w:val="002060"/>
        </w:rPr>
        <w:t xml:space="preserve"> Ninh.</w:t>
      </w:r>
    </w:p>
    <w:p w14:paraId="1561AA1D"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By 2035, Savills forecasts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Nam’s GDP to triple its current size, with an average growth rate of 7-8 per cent a year.</w:t>
      </w:r>
    </w:p>
    <w:p w14:paraId="5EC7E7DC"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The </w:t>
      </w:r>
      <w:proofErr w:type="spellStart"/>
      <w:r w:rsidRPr="00F675E0">
        <w:rPr>
          <w:rFonts w:ascii="Aptos" w:eastAsia="Times New Roman" w:hAnsi="Aptos" w:cs="Segoe UI"/>
          <w:color w:val="002060"/>
        </w:rPr>
        <w:t>urbanisation</w:t>
      </w:r>
      <w:proofErr w:type="spellEnd"/>
      <w:r w:rsidRPr="00F675E0">
        <w:rPr>
          <w:rFonts w:ascii="Aptos" w:eastAsia="Times New Roman" w:hAnsi="Aptos" w:cs="Segoe UI"/>
          <w:color w:val="002060"/>
        </w:rPr>
        <w:t xml:space="preserve"> rate is projected at 50 per cent, equivalent to 51 million urban residents, while the middle class could expand to 75 per cent of the population, driving strong demand across residential, commercial, hospitality, and healthcare sectors.</w:t>
      </w:r>
    </w:p>
    <w:p w14:paraId="3616CE25"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Together with rapid </w:t>
      </w:r>
      <w:proofErr w:type="spellStart"/>
      <w:r w:rsidRPr="00F675E0">
        <w:rPr>
          <w:rFonts w:ascii="Aptos" w:eastAsia="Times New Roman" w:hAnsi="Aptos" w:cs="Segoe UI"/>
          <w:color w:val="002060"/>
        </w:rPr>
        <w:t>urbanisation</w:t>
      </w:r>
      <w:proofErr w:type="spellEnd"/>
      <w:r w:rsidRPr="00F675E0">
        <w:rPr>
          <w:rFonts w:ascii="Aptos" w:eastAsia="Times New Roman" w:hAnsi="Aptos" w:cs="Segoe UI"/>
          <w:color w:val="002060"/>
        </w:rPr>
        <w:t xml:space="preserve">, satellite cities will become the next </w:t>
      </w:r>
      <w:proofErr w:type="spellStart"/>
      <w:r w:rsidRPr="00F675E0">
        <w:rPr>
          <w:rFonts w:ascii="Aptos" w:eastAsia="Times New Roman" w:hAnsi="Aptos" w:cs="Segoe UI"/>
          <w:color w:val="002060"/>
        </w:rPr>
        <w:t>centres</w:t>
      </w:r>
      <w:proofErr w:type="spellEnd"/>
      <w:r w:rsidRPr="00F675E0">
        <w:rPr>
          <w:rFonts w:ascii="Aptos" w:eastAsia="Times New Roman" w:hAnsi="Aptos" w:cs="Segoe UI"/>
          <w:color w:val="002060"/>
        </w:rPr>
        <w:t xml:space="preserve"> of real estate development, according to Troy Griffiths, Deputy Managing Director of Savills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w:t>
      </w:r>
    </w:p>
    <w:p w14:paraId="23EF3883"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lastRenderedPageBreak/>
        <w:t xml:space="preserve">Amid global economic fluctuations,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 continues to stand out as one of the most dynamic and resilient economies in the region, driven by robust growth, progressive reforms, and a steady inflow of high-quality foreign investment.</w:t>
      </w:r>
    </w:p>
    <w:p w14:paraId="2B57AF9D"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The 2025-2035 period will mark a new phase of transformation for the Vietnamese economy, he said.</w:t>
      </w:r>
    </w:p>
    <w:p w14:paraId="5DF8F273"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Investment and production are shifting towards high-tech industries, generating greater value and solidifying the country’s position in the regional value chain.</w:t>
      </w:r>
    </w:p>
    <w:p w14:paraId="327A0C81"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 possesses a rare combination of strong growth momentum, a young population, active policy reforms, and large-scale infrastructure investment. These fundamentals will underpin a decade of sustainable expansion, with real estate remaining a cornerstone of economic development,” he said.</w:t>
      </w:r>
    </w:p>
    <w:p w14:paraId="0F3E8BD4"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The Government is accelerating legal reforms and capital </w:t>
      </w:r>
      <w:proofErr w:type="spellStart"/>
      <w:r w:rsidRPr="00F675E0">
        <w:rPr>
          <w:rFonts w:ascii="Aptos" w:eastAsia="Times New Roman" w:hAnsi="Aptos" w:cs="Segoe UI"/>
          <w:color w:val="002060"/>
        </w:rPr>
        <w:t>mobilisation</w:t>
      </w:r>
      <w:proofErr w:type="spellEnd"/>
      <w:r w:rsidRPr="00F675E0">
        <w:rPr>
          <w:rFonts w:ascii="Aptos" w:eastAsia="Times New Roman" w:hAnsi="Aptos" w:cs="Segoe UI"/>
          <w:color w:val="002060"/>
        </w:rPr>
        <w:t xml:space="preserve"> mechanisms, including infrastructure bonds and digital transformation in market governance, to build a more transparent and modern investment environment that attracts long-term capital.</w:t>
      </w:r>
    </w:p>
    <w:p w14:paraId="6D870B1F"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Meanwhile, climate change presents challenges and new opportunities for green investment. As one of the countries most affected by a higher sea-level and saline intrusion, </w:t>
      </w:r>
      <w:proofErr w:type="spellStart"/>
      <w:r w:rsidRPr="00F675E0">
        <w:rPr>
          <w:rFonts w:ascii="Aptos" w:eastAsia="Times New Roman" w:hAnsi="Aptos" w:cs="Segoe UI"/>
          <w:color w:val="002060"/>
        </w:rPr>
        <w:t>Việt</w:t>
      </w:r>
      <w:proofErr w:type="spellEnd"/>
      <w:r w:rsidRPr="00F675E0">
        <w:rPr>
          <w:rFonts w:ascii="Aptos" w:eastAsia="Times New Roman" w:hAnsi="Aptos" w:cs="Segoe UI"/>
          <w:color w:val="002060"/>
        </w:rPr>
        <w:t xml:space="preserve"> Nam has also emerged as a regional leader in Net Zero commitments and green infrastructure investment.</w:t>
      </w:r>
    </w:p>
    <w:p w14:paraId="70C28C8F"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“Sustainable, energy-efficient, and climate-adaptive real estate projects will become the new market standard,” he said.</w:t>
      </w:r>
    </w:p>
    <w:p w14:paraId="72974428"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According to Savills' third quarter report, the property market showed continued positive growth momentum.</w:t>
      </w:r>
    </w:p>
    <w:p w14:paraId="301E9643"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In </w:t>
      </w:r>
      <w:proofErr w:type="spellStart"/>
      <w:r w:rsidRPr="00F675E0">
        <w:rPr>
          <w:rFonts w:ascii="Aptos" w:eastAsia="Times New Roman" w:hAnsi="Aptos" w:cs="Segoe UI"/>
          <w:color w:val="002060"/>
        </w:rPr>
        <w:t>HCM</w:t>
      </w:r>
      <w:proofErr w:type="spellEnd"/>
      <w:r w:rsidRPr="00F675E0">
        <w:rPr>
          <w:rFonts w:ascii="Aptos" w:eastAsia="Times New Roman" w:hAnsi="Aptos" w:cs="Segoe UI"/>
          <w:color w:val="002060"/>
        </w:rPr>
        <w:t xml:space="preserve"> City, key sectors showed signs of recovery. Office and retail supply maintained an average occupancy rate of around 90 per cent, reflecting stable demand from technology, finance, and commercial service enterprises.</w:t>
      </w:r>
    </w:p>
    <w:p w14:paraId="20775931"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In the third quarter of the year, the apartment market recorded the launch of 5,200 primary units with an absorption rate of 51 per cent, while the low-rise housing segment showed improved liquidity due to reasonable pricing and crucial infrastructure developments like Ring Road 3 and </w:t>
      </w:r>
      <w:proofErr w:type="spellStart"/>
      <w:r w:rsidRPr="00F675E0">
        <w:rPr>
          <w:rFonts w:ascii="Aptos" w:eastAsia="Times New Roman" w:hAnsi="Aptos" w:cs="Segoe UI"/>
          <w:color w:val="002060"/>
        </w:rPr>
        <w:t>Bến</w:t>
      </w:r>
      <w:proofErr w:type="spellEnd"/>
      <w:r w:rsidRPr="00F675E0">
        <w:rPr>
          <w:rFonts w:ascii="Aptos" w:eastAsia="Times New Roman" w:hAnsi="Aptos" w:cs="Segoe UI"/>
          <w:color w:val="002060"/>
        </w:rPr>
        <w:t xml:space="preserve"> </w:t>
      </w:r>
      <w:proofErr w:type="spellStart"/>
      <w:r w:rsidRPr="00F675E0">
        <w:rPr>
          <w:rFonts w:ascii="Aptos" w:eastAsia="Times New Roman" w:hAnsi="Aptos" w:cs="Segoe UI"/>
          <w:color w:val="002060"/>
        </w:rPr>
        <w:t>Lức</w:t>
      </w:r>
      <w:proofErr w:type="spellEnd"/>
      <w:r w:rsidRPr="00F675E0">
        <w:rPr>
          <w:rFonts w:ascii="Aptos" w:eastAsia="Times New Roman" w:hAnsi="Aptos" w:cs="Segoe UI"/>
          <w:color w:val="002060"/>
        </w:rPr>
        <w:t>-Long Thành Expressway.</w:t>
      </w:r>
    </w:p>
    <w:p w14:paraId="1DA55FE8"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Hà </w:t>
      </w:r>
      <w:proofErr w:type="spellStart"/>
      <w:r w:rsidRPr="00F675E0">
        <w:rPr>
          <w:rFonts w:ascii="Aptos" w:eastAsia="Times New Roman" w:hAnsi="Aptos" w:cs="Segoe UI"/>
          <w:color w:val="002060"/>
        </w:rPr>
        <w:t>Nội’s</w:t>
      </w:r>
      <w:proofErr w:type="spellEnd"/>
      <w:r w:rsidRPr="00F675E0">
        <w:rPr>
          <w:rFonts w:ascii="Aptos" w:eastAsia="Times New Roman" w:hAnsi="Aptos" w:cs="Segoe UI"/>
          <w:color w:val="002060"/>
        </w:rPr>
        <w:t xml:space="preserve"> market continued to register stable momentum in office and retail, with increasing rents and occupancy.</w:t>
      </w:r>
    </w:p>
    <w:p w14:paraId="6C5CF61C"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Apartment supply reached 6,300 new units, with an absorption rate exceeding 80 per cent, reflecting increasingly strong demand from owner-occupiers.</w:t>
      </w:r>
    </w:p>
    <w:p w14:paraId="455A7E2B"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lastRenderedPageBreak/>
        <w:t xml:space="preserve">In 2025, alongside the implementation of new legal regulations, state management bodies will tighten monitoring and regulation to ensure the market develops on the right trajectory. The economy is forecast to </w:t>
      </w:r>
      <w:proofErr w:type="spellStart"/>
      <w:r w:rsidRPr="00F675E0">
        <w:rPr>
          <w:rFonts w:ascii="Aptos" w:eastAsia="Times New Roman" w:hAnsi="Aptos" w:cs="Segoe UI"/>
          <w:color w:val="002060"/>
        </w:rPr>
        <w:t>stabilise</w:t>
      </w:r>
      <w:proofErr w:type="spellEnd"/>
      <w:r w:rsidRPr="00F675E0">
        <w:rPr>
          <w:rFonts w:ascii="Aptos" w:eastAsia="Times New Roman" w:hAnsi="Aptos" w:cs="Segoe UI"/>
          <w:color w:val="002060"/>
        </w:rPr>
        <w:t>, which, together with infrastructure investments, will significantly boost real estate demand.</w:t>
      </w:r>
    </w:p>
    <w:p w14:paraId="3BA703F9" w14:textId="77777777" w:rsidR="00F675E0"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Currently, new trends including smart cities, the application of artificial intelligence in property technology, and sustainable development are defining the landscape.</w:t>
      </w:r>
    </w:p>
    <w:p w14:paraId="6E1E0536" w14:textId="0A536C28" w:rsidR="00230B1B" w:rsidRPr="00F675E0" w:rsidRDefault="00F675E0" w:rsidP="00F675E0">
      <w:pPr>
        <w:spacing w:after="450" w:line="288" w:lineRule="auto"/>
        <w:jc w:val="both"/>
        <w:rPr>
          <w:rFonts w:ascii="Aptos" w:eastAsia="Times New Roman" w:hAnsi="Aptos" w:cs="Segoe UI"/>
          <w:color w:val="002060"/>
        </w:rPr>
      </w:pPr>
      <w:r w:rsidRPr="00F675E0">
        <w:rPr>
          <w:rFonts w:ascii="Aptos" w:eastAsia="Times New Roman" w:hAnsi="Aptos" w:cs="Segoe UI"/>
          <w:color w:val="002060"/>
        </w:rPr>
        <w:t xml:space="preserve">Affordable housing is another key focus, supported by mechanisms to promote public-private partnerships and comprehensive development. </w:t>
      </w:r>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14:paraId="0974C56A" w14:textId="77E7149A" w:rsidR="00881894" w:rsidRDefault="00245E42" w:rsidP="008818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49076B8A" w14:textId="77777777" w:rsidR="002632D8" w:rsidRDefault="002632D8" w:rsidP="00881894">
      <w:pPr>
        <w:spacing w:line="288" w:lineRule="auto"/>
        <w:jc w:val="right"/>
        <w:rPr>
          <w:rStyle w:val="Hyperlink"/>
          <w:rFonts w:ascii="Aptos" w:eastAsia="Malgun Gothic" w:hAnsi="Aptos" w:cs="Times New Roman"/>
          <w:color w:val="002060"/>
        </w:rPr>
      </w:pPr>
    </w:p>
    <w:p w14:paraId="1723C360" w14:textId="77777777" w:rsidR="002632D8" w:rsidRPr="004C6CBE" w:rsidRDefault="002632D8" w:rsidP="00881894">
      <w:pPr>
        <w:spacing w:line="288" w:lineRule="auto"/>
        <w:jc w:val="right"/>
        <w:rPr>
          <w:rStyle w:val="Hyperlink"/>
          <w:rFonts w:ascii="Aptos" w:eastAsia="Malgun Gothic" w:hAnsi="Aptos" w:cs="Times New Roman"/>
          <w:color w:val="002060"/>
        </w:rPr>
      </w:pPr>
    </w:p>
    <w:p w14:paraId="28E6BEE9" w14:textId="77777777" w:rsidR="002632D8" w:rsidRPr="002632D8" w:rsidRDefault="002632D8" w:rsidP="002632D8">
      <w:pPr>
        <w:spacing w:after="161" w:line="288" w:lineRule="auto"/>
        <w:jc w:val="both"/>
        <w:outlineLvl w:val="0"/>
        <w:rPr>
          <w:rFonts w:ascii="Aptos" w:eastAsia="Times New Roman" w:hAnsi="Aptos" w:cs="Times New Roman"/>
          <w:b/>
          <w:bCs/>
          <w:color w:val="002060"/>
          <w:kern w:val="36"/>
          <w:sz w:val="24"/>
          <w:szCs w:val="24"/>
        </w:rPr>
      </w:pPr>
      <w:bookmarkStart w:id="1077" w:name="_Toc150433306"/>
      <w:bookmarkStart w:id="1078" w:name="_Toc151040605"/>
      <w:bookmarkStart w:id="1079" w:name="_Toc151645186"/>
      <w:bookmarkStart w:id="1080" w:name="_Toc152248771"/>
      <w:bookmarkStart w:id="1081" w:name="_Toc153458096"/>
      <w:bookmarkStart w:id="1082" w:name="_Toc154061711"/>
      <w:bookmarkStart w:id="1083" w:name="_Toc185497345"/>
      <w:bookmarkStart w:id="1084" w:name="_Toc186722702"/>
      <w:bookmarkStart w:id="1085" w:name="_Toc187326028"/>
      <w:bookmarkStart w:id="1086" w:name="_Toc187919327"/>
      <w:bookmarkStart w:id="1087" w:name="_Toc188519320"/>
      <w:bookmarkStart w:id="1088" w:name="_Toc189746412"/>
      <w:bookmarkStart w:id="1089" w:name="_Toc190348434"/>
      <w:bookmarkStart w:id="1090" w:name="_Toc190954019"/>
      <w:bookmarkStart w:id="1091" w:name="_Toc191559705"/>
      <w:bookmarkStart w:id="1092" w:name="_Toc192153156"/>
      <w:bookmarkStart w:id="1093" w:name="_Toc192767040"/>
      <w:bookmarkStart w:id="1094" w:name="_Toc193361548"/>
      <w:bookmarkStart w:id="1095" w:name="_Toc193977740"/>
      <w:bookmarkStart w:id="1096" w:name="_Toc194671403"/>
      <w:bookmarkStart w:id="1097" w:name="_Toc195192240"/>
      <w:bookmarkStart w:id="1098" w:name="_Toc195795581"/>
      <w:bookmarkStart w:id="1099" w:name="_Toc196395808"/>
      <w:bookmarkStart w:id="1100" w:name="_Toc197596767"/>
      <w:bookmarkStart w:id="1101" w:name="_Toc198210656"/>
      <w:bookmarkStart w:id="1102" w:name="_Toc198816072"/>
      <w:bookmarkStart w:id="1103" w:name="_Toc199419434"/>
      <w:bookmarkStart w:id="1104" w:name="_Toc200013609"/>
      <w:bookmarkStart w:id="1105" w:name="_Toc200628582"/>
      <w:bookmarkStart w:id="1106" w:name="_Toc201837364"/>
      <w:bookmarkStart w:id="1107" w:name="_Toc202445702"/>
      <w:bookmarkStart w:id="1108" w:name="_Toc203047566"/>
      <w:bookmarkStart w:id="1109" w:name="_Toc203655869"/>
      <w:bookmarkStart w:id="1110" w:name="_Toc204262807"/>
      <w:bookmarkStart w:id="1111" w:name="_Toc204862966"/>
      <w:bookmarkStart w:id="1112" w:name="_Toc205466596"/>
      <w:bookmarkStart w:id="1113" w:name="_Toc206074512"/>
      <w:bookmarkStart w:id="1114" w:name="_Toc207184407"/>
      <w:bookmarkStart w:id="1115" w:name="_Toc207888613"/>
      <w:bookmarkStart w:id="1116" w:name="_Toc208493636"/>
      <w:bookmarkStart w:id="1117" w:name="_Toc208493714"/>
      <w:bookmarkStart w:id="1118" w:name="_Toc209099457"/>
      <w:bookmarkStart w:id="1119" w:name="_Toc209702686"/>
      <w:bookmarkStart w:id="1120" w:name="_Toc210305250"/>
      <w:bookmarkStart w:id="1121" w:name="_Toc216355060"/>
      <w:r w:rsidRPr="002632D8">
        <w:rPr>
          <w:rFonts w:ascii="Aptos" w:eastAsia="Times New Roman" w:hAnsi="Aptos" w:cs="Times New Roman"/>
          <w:b/>
          <w:bCs/>
          <w:color w:val="002060"/>
          <w:kern w:val="36"/>
          <w:sz w:val="24"/>
          <w:szCs w:val="24"/>
        </w:rPr>
        <w:t>Real estate deals boom via high-profile names</w:t>
      </w:r>
      <w:bookmarkEnd w:id="1121"/>
    </w:p>
    <w:p w14:paraId="43A3C275" w14:textId="11AEF940" w:rsidR="002632D8" w:rsidRDefault="002632D8" w:rsidP="002632D8">
      <w:pPr>
        <w:spacing w:after="161" w:line="288" w:lineRule="auto"/>
        <w:jc w:val="both"/>
        <w:outlineLvl w:val="0"/>
        <w:rPr>
          <w:rFonts w:ascii="Aptos" w:eastAsia="Times New Roman" w:hAnsi="Aptos" w:cs="Times New Roman"/>
          <w:i/>
          <w:iCs/>
          <w:color w:val="002060"/>
          <w:kern w:val="36"/>
          <w:sz w:val="18"/>
          <w:szCs w:val="18"/>
        </w:rPr>
      </w:pPr>
      <w:bookmarkStart w:id="1122" w:name="_Toc216355061"/>
      <w:r w:rsidRPr="002632D8">
        <w:rPr>
          <w:rFonts w:ascii="Aptos" w:eastAsia="Times New Roman" w:hAnsi="Aptos" w:cs="Times New Roman"/>
          <w:i/>
          <w:iCs/>
          <w:color w:val="002060"/>
          <w:kern w:val="36"/>
          <w:sz w:val="18"/>
          <w:szCs w:val="18"/>
        </w:rPr>
        <w:t>VIR</w:t>
      </w:r>
      <w:bookmarkEnd w:id="1122"/>
    </w:p>
    <w:p w14:paraId="15CEF50C" w14:textId="77777777" w:rsidR="002632D8" w:rsidRPr="002632D8" w:rsidRDefault="002632D8" w:rsidP="002632D8">
      <w:pPr>
        <w:spacing w:after="161" w:line="288" w:lineRule="auto"/>
        <w:jc w:val="both"/>
        <w:outlineLvl w:val="0"/>
        <w:rPr>
          <w:rFonts w:ascii="Aptos" w:eastAsia="Times New Roman" w:hAnsi="Aptos" w:cs="Times New Roman"/>
          <w:i/>
          <w:iCs/>
          <w:color w:val="002060"/>
          <w:kern w:val="36"/>
          <w:sz w:val="18"/>
          <w:szCs w:val="18"/>
        </w:rPr>
      </w:pPr>
    </w:p>
    <w:p w14:paraId="7C0DB3ED" w14:textId="77777777" w:rsidR="002632D8" w:rsidRPr="002632D8" w:rsidRDefault="002632D8" w:rsidP="002632D8">
      <w:pPr>
        <w:spacing w:after="150" w:line="288" w:lineRule="auto"/>
        <w:jc w:val="both"/>
        <w:rPr>
          <w:rFonts w:ascii="Aptos" w:eastAsia="Times New Roman" w:hAnsi="Aptos" w:cs="Times New Roman"/>
          <w:color w:val="002060"/>
        </w:rPr>
      </w:pPr>
      <w:r w:rsidRPr="002632D8">
        <w:rPr>
          <w:rFonts w:ascii="Aptos" w:eastAsia="Times New Roman" w:hAnsi="Aptos" w:cs="Times New Roman"/>
          <w:color w:val="002060"/>
        </w:rPr>
        <w:t>The Vietnamese real estate merge and acquisition (M&amp;A) market in 2025 recorded significant growth, marking a positive shift after a prolonged downturn.</w:t>
      </w:r>
    </w:p>
    <w:tbl>
      <w:tblPr>
        <w:tblpPr w:leftFromText="345" w:rightFromText="45" w:bottomFromText="225" w:vertAnchor="text" w:tblpXSpec="right" w:tblpYSpec="center"/>
        <w:tblW w:w="4500" w:type="dxa"/>
        <w:tblCellMar>
          <w:top w:w="75" w:type="dxa"/>
          <w:left w:w="75" w:type="dxa"/>
          <w:bottom w:w="75" w:type="dxa"/>
          <w:right w:w="75" w:type="dxa"/>
        </w:tblCellMar>
        <w:tblLook w:val="04A0" w:firstRow="1" w:lastRow="0" w:firstColumn="1" w:lastColumn="0" w:noHBand="0" w:noVBand="1"/>
      </w:tblPr>
      <w:tblGrid>
        <w:gridCol w:w="4500"/>
      </w:tblGrid>
      <w:tr w:rsidR="002632D8" w:rsidRPr="002632D8" w14:paraId="412A4FDB" w14:textId="77777777" w:rsidTr="002632D8">
        <w:tc>
          <w:tcPr>
            <w:tcW w:w="0" w:type="auto"/>
            <w:tcMar>
              <w:top w:w="0" w:type="dxa"/>
              <w:left w:w="0" w:type="dxa"/>
              <w:bottom w:w="0" w:type="dxa"/>
              <w:right w:w="0" w:type="dxa"/>
            </w:tcMar>
            <w:vAlign w:val="center"/>
            <w:hideMark/>
          </w:tcPr>
          <w:p w14:paraId="34BC9198" w14:textId="4FE2A3C7" w:rsidR="002632D8" w:rsidRPr="002632D8" w:rsidRDefault="002632D8" w:rsidP="002632D8">
            <w:pPr>
              <w:spacing w:after="0" w:line="288" w:lineRule="auto"/>
              <w:jc w:val="both"/>
              <w:rPr>
                <w:rFonts w:ascii="Aptos" w:eastAsia="Times New Roman" w:hAnsi="Aptos" w:cs="Times New Roman"/>
                <w:color w:val="002060"/>
              </w:rPr>
            </w:pPr>
          </w:p>
        </w:tc>
      </w:tr>
    </w:tbl>
    <w:p w14:paraId="0280FEC3" w14:textId="6E204B4F"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Unlike the previous period when the market faced</w:t>
      </w:r>
      <w:r w:rsidRPr="002632D8">
        <w:rPr>
          <w:rFonts w:ascii="Aptos" w:eastAsia="Times New Roman" w:hAnsi="Aptos" w:cs="Times New Roman"/>
          <w:color w:val="002060"/>
        </w:rPr>
        <w:t xml:space="preserve"> </w:t>
      </w:r>
      <w:proofErr w:type="spellStart"/>
      <w:r w:rsidRPr="002632D8">
        <w:rPr>
          <w:rFonts w:ascii="Aptos" w:eastAsia="Times New Roman" w:hAnsi="Aptos" w:cs="Times New Roman"/>
          <w:color w:val="002060"/>
        </w:rPr>
        <w:t>d</w:t>
      </w:r>
      <w:r w:rsidRPr="002632D8">
        <w:rPr>
          <w:rFonts w:ascii="Aptos" w:eastAsia="Times New Roman" w:hAnsi="Aptos" w:cs="Times New Roman"/>
          <w:color w:val="002060"/>
        </w:rPr>
        <w:t>fficulties</w:t>
      </w:r>
      <w:proofErr w:type="spellEnd"/>
      <w:r w:rsidRPr="002632D8">
        <w:rPr>
          <w:rFonts w:ascii="Aptos" w:eastAsia="Times New Roman" w:hAnsi="Aptos" w:cs="Times New Roman"/>
          <w:color w:val="002060"/>
        </w:rPr>
        <w:t xml:space="preserve"> due to administrative barriers, this year has seen the resolution of many legal bottlenecks along with greater clarity in planning, creating conditions for increased supply and promoting cooperation among industry players.</w:t>
      </w:r>
    </w:p>
    <w:p w14:paraId="29BA42CD"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Amid tight financial conditions, businesses have turned to M&amp;A strategies as a key solution to maintain growth momentum, while many corporations, after restructuring, have actively expanded their real estate portfolios through mergers and acquisitions. Typical examples are domestic companies such as </w:t>
      </w:r>
      <w:proofErr w:type="spellStart"/>
      <w:r w:rsidRPr="002632D8">
        <w:rPr>
          <w:rFonts w:ascii="Aptos" w:eastAsia="Times New Roman" w:hAnsi="Aptos" w:cs="Times New Roman"/>
          <w:color w:val="002060"/>
        </w:rPr>
        <w:t>Novaland</w:t>
      </w:r>
      <w:proofErr w:type="spellEnd"/>
      <w:r w:rsidRPr="002632D8">
        <w:rPr>
          <w:rFonts w:ascii="Aptos" w:eastAsia="Times New Roman" w:hAnsi="Aptos" w:cs="Times New Roman"/>
          <w:color w:val="002060"/>
        </w:rPr>
        <w:t xml:space="preserve"> Group and Phat Dat Group, which are actively participating in the M&amp;A market.</w:t>
      </w:r>
    </w:p>
    <w:p w14:paraId="69A182A5"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The real estate sector has absorbed $2.75 billion in foreign direct investment (</w:t>
      </w:r>
      <w:proofErr w:type="spellStart"/>
      <w:r w:rsidRPr="002632D8">
        <w:rPr>
          <w:rFonts w:ascii="Aptos" w:eastAsia="Times New Roman" w:hAnsi="Aptos" w:cs="Times New Roman"/>
          <w:color w:val="002060"/>
        </w:rPr>
        <w:t>FDI</w:t>
      </w:r>
      <w:proofErr w:type="spellEnd"/>
      <w:r w:rsidRPr="002632D8">
        <w:rPr>
          <w:rFonts w:ascii="Aptos" w:eastAsia="Times New Roman" w:hAnsi="Aptos" w:cs="Times New Roman"/>
          <w:color w:val="002060"/>
        </w:rPr>
        <w:t xml:space="preserve">), equivalent to nearly one-fifth of total </w:t>
      </w:r>
      <w:proofErr w:type="spellStart"/>
      <w:r w:rsidRPr="002632D8">
        <w:rPr>
          <w:rFonts w:ascii="Aptos" w:eastAsia="Times New Roman" w:hAnsi="Aptos" w:cs="Times New Roman"/>
          <w:color w:val="002060"/>
        </w:rPr>
        <w:t>FDI</w:t>
      </w:r>
      <w:proofErr w:type="spellEnd"/>
      <w:r w:rsidRPr="002632D8">
        <w:rPr>
          <w:rFonts w:ascii="Aptos" w:eastAsia="Times New Roman" w:hAnsi="Aptos" w:cs="Times New Roman"/>
          <w:color w:val="002060"/>
        </w:rPr>
        <w:t xml:space="preserve"> capital, with actual disbursements reaching $1.5 billion in the past 10 months, according to data from the National Statistics Office under the Ministry of Finance.</w:t>
      </w:r>
    </w:p>
    <w:p w14:paraId="741DF26B"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Investment capital has focused significantly on projects with high legal transparency, especially commercial land funds that have been approved for planning, have land use rights documents, and have a clear construction completion roadmap.</w:t>
      </w:r>
    </w:p>
    <w:p w14:paraId="3BE9E417"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The market also shows clear stratification among investor groups. Local investors lead in transaction frequency with small and medium-sized deals, while foreign partners focus on large-scale deals, especially in the high-end residential segment, integrated urban development, and strategic industrial real estate.</w:t>
      </w:r>
    </w:p>
    <w:p w14:paraId="16E00B84"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According to JLL’s observations of M&amp;A deals with publicly available information in the first 11 months, the cumulative transaction volume reached approximately $2.4 billion. However, if we include unannounced </w:t>
      </w:r>
      <w:r w:rsidRPr="002632D8">
        <w:rPr>
          <w:rFonts w:ascii="Aptos" w:eastAsia="Times New Roman" w:hAnsi="Aptos" w:cs="Times New Roman"/>
          <w:color w:val="002060"/>
        </w:rPr>
        <w:lastRenderedPageBreak/>
        <w:t>transactions that JLL has observed and recorded, the estimated transaction volume is significantly higher. Notably, the residential real estate sector leads the way, accounting for over 70 per cent of total M&amp;A transaction volume.</w:t>
      </w:r>
    </w:p>
    <w:p w14:paraId="2C269388"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Other segments such as commercial and resort real estate account for approximately 17.7 and 5.3 per cent, respectively. The data </w:t>
      </w:r>
      <w:proofErr w:type="spellStart"/>
      <w:r w:rsidRPr="002632D8">
        <w:rPr>
          <w:rFonts w:ascii="Aptos" w:eastAsia="Times New Roman" w:hAnsi="Aptos" w:cs="Times New Roman"/>
          <w:color w:val="002060"/>
        </w:rPr>
        <w:t>centre</w:t>
      </w:r>
      <w:proofErr w:type="spellEnd"/>
      <w:r w:rsidRPr="002632D8">
        <w:rPr>
          <w:rFonts w:ascii="Aptos" w:eastAsia="Times New Roman" w:hAnsi="Aptos" w:cs="Times New Roman"/>
          <w:color w:val="002060"/>
        </w:rPr>
        <w:t xml:space="preserve"> sector also emerged as one of the potential niche markets, accounting for 3.3 per cent of M&amp;A transaction volume.</w:t>
      </w:r>
    </w:p>
    <w:p w14:paraId="5EF6944F"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This significant gap reflects strong demand for land from investors. This trend of land banking is particularly important as the supply of clean land becomes increasingly limited and legal procedures are tightened towards greater transparency.</w:t>
      </w:r>
    </w:p>
    <w:p w14:paraId="34A4749D"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The policy allowing agreements on non-residential land use rights for commercial housing development from April 2025 has opened up great opportunities for converting industrial and agricultural land. This will strongly promote M&amp;A deals in the housing segment, which is experiencing a prolonged supply shortage and high absorption rates.</w:t>
      </w:r>
    </w:p>
    <w:p w14:paraId="241A83AD"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The office segment shows clear differentiation. Ho Chi Minh City is experiencing a severe supply shortage with high occupancy rates and strong rental growth, while Hanoi is seeing a strong wave of foreign investment from international investors. For the hotel sector, the expected investment yield is estimated at 8-9 per cent this year, with total M&amp;A transaction volume estimated at $125 million.</w:t>
      </w:r>
    </w:p>
    <w:p w14:paraId="283A591E"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Industrial and logistics real estate continues to attract attention. The cumulative M&amp;A transaction volume of the industrial real estate segment in the first 11 months of the year reached approximately $74 million. Instead of just leasing land to build themselves, investors now increasingly prefer the model of acquiring existing industrial parks with infrastructure and then expanding them in new phases. This approach saves implementation time, ensures infrastructure quality, and </w:t>
      </w:r>
      <w:proofErr w:type="spellStart"/>
      <w:r w:rsidRPr="002632D8">
        <w:rPr>
          <w:rFonts w:ascii="Aptos" w:eastAsia="Times New Roman" w:hAnsi="Aptos" w:cs="Times New Roman"/>
          <w:color w:val="002060"/>
        </w:rPr>
        <w:t>minimises</w:t>
      </w:r>
      <w:proofErr w:type="spellEnd"/>
      <w:r w:rsidRPr="002632D8">
        <w:rPr>
          <w:rFonts w:ascii="Aptos" w:eastAsia="Times New Roman" w:hAnsi="Aptos" w:cs="Times New Roman"/>
          <w:color w:val="002060"/>
        </w:rPr>
        <w:t xml:space="preserve"> legal risks.</w:t>
      </w:r>
    </w:p>
    <w:p w14:paraId="6179A27F"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The emergence of diverse investment products such as industrial land funds, ready-built factories, and </w:t>
      </w:r>
      <w:proofErr w:type="spellStart"/>
      <w:r w:rsidRPr="002632D8">
        <w:rPr>
          <w:rFonts w:ascii="Aptos" w:eastAsia="Times New Roman" w:hAnsi="Aptos" w:cs="Times New Roman"/>
          <w:color w:val="002060"/>
        </w:rPr>
        <w:t>specialised</w:t>
      </w:r>
      <w:proofErr w:type="spellEnd"/>
      <w:r w:rsidRPr="002632D8">
        <w:rPr>
          <w:rFonts w:ascii="Aptos" w:eastAsia="Times New Roman" w:hAnsi="Aptos" w:cs="Times New Roman"/>
          <w:color w:val="002060"/>
        </w:rPr>
        <w:t xml:space="preserve"> segments like cold storage and data </w:t>
      </w:r>
      <w:proofErr w:type="spellStart"/>
      <w:r w:rsidRPr="002632D8">
        <w:rPr>
          <w:rFonts w:ascii="Aptos" w:eastAsia="Times New Roman" w:hAnsi="Aptos" w:cs="Times New Roman"/>
          <w:color w:val="002060"/>
        </w:rPr>
        <w:t>centres</w:t>
      </w:r>
      <w:proofErr w:type="spellEnd"/>
      <w:r w:rsidRPr="002632D8">
        <w:rPr>
          <w:rFonts w:ascii="Aptos" w:eastAsia="Times New Roman" w:hAnsi="Aptos" w:cs="Times New Roman"/>
          <w:color w:val="002060"/>
        </w:rPr>
        <w:t xml:space="preserve"> is creating abundant M&amp;A opportunities.</w:t>
      </w:r>
    </w:p>
    <w:p w14:paraId="125BD0BC"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Legal policy reforms have emerged as a decisive factor, particularly those allowing investors to flexibly convert non-agricultural land into commercial housing projects.</w:t>
      </w:r>
    </w:p>
    <w:p w14:paraId="676373AB"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The need for corporate restructuring plays a crucial role. Many domestic companies face liquidity challenges and accumulate bad debts from the hot growth phase of 2020-2022, forcing them to seek M&amp;A solutions to </w:t>
      </w:r>
      <w:proofErr w:type="spellStart"/>
      <w:r w:rsidRPr="002632D8">
        <w:rPr>
          <w:rFonts w:ascii="Aptos" w:eastAsia="Times New Roman" w:hAnsi="Aptos" w:cs="Times New Roman"/>
          <w:color w:val="002060"/>
        </w:rPr>
        <w:t>reorganise</w:t>
      </w:r>
      <w:proofErr w:type="spellEnd"/>
      <w:r w:rsidRPr="002632D8">
        <w:rPr>
          <w:rFonts w:ascii="Aptos" w:eastAsia="Times New Roman" w:hAnsi="Aptos" w:cs="Times New Roman"/>
          <w:color w:val="002060"/>
        </w:rPr>
        <w:t xml:space="preserve"> their finances and complete project legalities.</w:t>
      </w:r>
    </w:p>
    <w:p w14:paraId="6D5949E0"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Stable monetary policy with an average lending rate of 7-9 per cent, lower than in recent years, has created a </w:t>
      </w:r>
      <w:proofErr w:type="spellStart"/>
      <w:r w:rsidRPr="002632D8">
        <w:rPr>
          <w:rFonts w:ascii="Aptos" w:eastAsia="Times New Roman" w:hAnsi="Aptos" w:cs="Times New Roman"/>
          <w:color w:val="002060"/>
        </w:rPr>
        <w:t>favourable</w:t>
      </w:r>
      <w:proofErr w:type="spellEnd"/>
      <w:r w:rsidRPr="002632D8">
        <w:rPr>
          <w:rFonts w:ascii="Aptos" w:eastAsia="Times New Roman" w:hAnsi="Aptos" w:cs="Times New Roman"/>
          <w:color w:val="002060"/>
        </w:rPr>
        <w:t xml:space="preserve"> environment for capital access. This preferential interest rate not only helps balance competitiveness between domestic and international investors but also encourages long-term capital inflows into the market.</w:t>
      </w:r>
    </w:p>
    <w:p w14:paraId="1573FFA7" w14:textId="77777777" w:rsidR="002632D8" w:rsidRPr="002632D8" w:rsidRDefault="002632D8" w:rsidP="002632D8">
      <w:pPr>
        <w:spacing w:after="225" w:line="288" w:lineRule="auto"/>
        <w:jc w:val="both"/>
        <w:rPr>
          <w:rFonts w:ascii="Aptos" w:eastAsia="Times New Roman" w:hAnsi="Aptos" w:cs="Times New Roman"/>
          <w:color w:val="002060"/>
        </w:rPr>
      </w:pPr>
      <w:r w:rsidRPr="002632D8">
        <w:rPr>
          <w:rFonts w:ascii="Aptos" w:eastAsia="Times New Roman" w:hAnsi="Aptos" w:cs="Times New Roman"/>
          <w:color w:val="002060"/>
        </w:rPr>
        <w:t>JLL recommends that Vietnamese businesses focus on improving four key factors: ensure the complete legal compliance of the asset, particularly land use rights documents and related permits; conduct professional valuations according to international standards and updating them regularly; maintain flexibility in the transaction structure, as businesses need to be ready to consider various forms of cooperation; and build a transparent financial system with internationally audited reports and clear corporate governance.</w:t>
      </w:r>
    </w:p>
    <w:p w14:paraId="2F56A39F" w14:textId="2C68E9EB" w:rsidR="004F05DA" w:rsidRPr="002632D8" w:rsidRDefault="002632D8" w:rsidP="002632D8">
      <w:pPr>
        <w:spacing w:line="288" w:lineRule="auto"/>
        <w:jc w:val="both"/>
        <w:rPr>
          <w:rFonts w:ascii="Aptos" w:eastAsia="Times New Roman" w:hAnsi="Aptos" w:cs="Times New Roman"/>
          <w:color w:val="002060"/>
        </w:rPr>
      </w:pPr>
      <w:r w:rsidRPr="002632D8">
        <w:rPr>
          <w:rFonts w:ascii="Aptos" w:eastAsia="Times New Roman" w:hAnsi="Aptos" w:cs="Times New Roman"/>
          <w:color w:val="002060"/>
        </w:rPr>
        <w:t xml:space="preserve">Companies should invest in </w:t>
      </w:r>
      <w:proofErr w:type="spellStart"/>
      <w:r w:rsidRPr="002632D8">
        <w:rPr>
          <w:rFonts w:ascii="Aptos" w:eastAsia="Times New Roman" w:hAnsi="Aptos" w:cs="Times New Roman"/>
          <w:color w:val="002060"/>
        </w:rPr>
        <w:t>standardising</w:t>
      </w:r>
      <w:proofErr w:type="spellEnd"/>
      <w:r w:rsidRPr="002632D8">
        <w:rPr>
          <w:rFonts w:ascii="Aptos" w:eastAsia="Times New Roman" w:hAnsi="Aptos" w:cs="Times New Roman"/>
          <w:color w:val="002060"/>
        </w:rPr>
        <w:t xml:space="preserve"> their financial reporting systems and establish rigorous internal governance processes to ensure success in M&amp;A deals.</w:t>
      </w:r>
    </w:p>
    <w:p w14:paraId="60973B24" w14:textId="77777777" w:rsidR="0061536E" w:rsidRDefault="00FA642B" w:rsidP="0061536E">
      <w:pPr>
        <w:spacing w:line="288" w:lineRule="auto"/>
        <w:jc w:val="right"/>
        <w:rPr>
          <w:rStyle w:val="Hyperlink"/>
          <w:rFonts w:ascii="Aptos" w:eastAsia="Malgun Gothic" w:hAnsi="Aptos" w:cs="Times New Roman"/>
          <w:color w:val="002060"/>
        </w:rPr>
      </w:pPr>
      <w:hyperlink w:anchor="_top" w:history="1">
        <w:r w:rsidR="0061536E" w:rsidRPr="004C6CBE">
          <w:rPr>
            <w:rStyle w:val="Hyperlink"/>
            <w:rFonts w:ascii="Aptos" w:eastAsia="Malgun Gothic" w:hAnsi="Aptos" w:cs="Times New Roman"/>
            <w:color w:val="002060"/>
          </w:rPr>
          <w:t>Back to Top</w:t>
        </w:r>
      </w:hyperlink>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23D4DA5E" w14:textId="0593A72C"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23" w:name="_Toc210911926"/>
      <w:bookmarkStart w:id="1124" w:name="_Toc210912018"/>
      <w:bookmarkStart w:id="1125" w:name="_Toc211518249"/>
      <w:bookmarkStart w:id="1126" w:name="_Toc212118933"/>
      <w:bookmarkStart w:id="1127" w:name="_Toc212726924"/>
      <w:bookmarkStart w:id="1128" w:name="_Toc213334262"/>
      <w:bookmarkStart w:id="1129" w:name="_Toc213924610"/>
      <w:bookmarkStart w:id="1130" w:name="_Toc214539951"/>
      <w:bookmarkStart w:id="1131" w:name="_Toc215144387"/>
      <w:bookmarkStart w:id="1132" w:name="_Toc215750966"/>
      <w:bookmarkStart w:id="1133" w:name="_Toc216355062"/>
      <w:proofErr w:type="spellStart"/>
      <w:r w:rsidRPr="004C6CBE">
        <w:rPr>
          <w:rFonts w:ascii="Aptos" w:eastAsia="Malgun Gothic" w:hAnsi="Aptos" w:cs="Times New Roman"/>
          <w:color w:val="002060"/>
        </w:rPr>
        <w:t>OIL&amp;GAS&amp;</w:t>
      </w:r>
      <w:hyperlink r:id="rId8"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4C6CBE">
        <w:rPr>
          <w:rFonts w:ascii="Aptos" w:eastAsia="Malgun Gothic" w:hAnsi="Aptos" w:cs="Times New Roman"/>
          <w:color w:val="002060"/>
        </w:rPr>
        <w:t>G</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3"/>
      <w:bookmarkEnd w:id="1124"/>
      <w:bookmarkEnd w:id="1125"/>
      <w:bookmarkEnd w:id="1126"/>
      <w:bookmarkEnd w:id="1127"/>
      <w:bookmarkEnd w:id="1128"/>
      <w:bookmarkEnd w:id="1129"/>
      <w:bookmarkEnd w:id="1130"/>
      <w:bookmarkEnd w:id="1131"/>
      <w:bookmarkEnd w:id="1132"/>
      <w:bookmarkEnd w:id="1133"/>
      <w:proofErr w:type="spellEnd"/>
    </w:p>
    <w:p w14:paraId="0022814E" w14:textId="77777777" w:rsidR="00337E4B" w:rsidRPr="00337E4B" w:rsidRDefault="00337E4B" w:rsidP="00337E4B"/>
    <w:p w14:paraId="229A1910" w14:textId="77777777" w:rsidR="00337E4B" w:rsidRPr="00337E4B" w:rsidRDefault="00337E4B" w:rsidP="00337E4B"/>
    <w:p w14:paraId="7D348961" w14:textId="77777777" w:rsidR="00337E4B" w:rsidRPr="00337E4B" w:rsidRDefault="00337E4B" w:rsidP="00337E4B">
      <w:pPr>
        <w:spacing w:after="0" w:line="288" w:lineRule="auto"/>
        <w:jc w:val="both"/>
        <w:outlineLvl w:val="0"/>
        <w:rPr>
          <w:rFonts w:ascii="Aptos" w:eastAsia="Times New Roman" w:hAnsi="Aptos" w:cs="Arial"/>
          <w:b/>
          <w:bCs/>
          <w:color w:val="002060"/>
          <w:kern w:val="36"/>
          <w:sz w:val="24"/>
          <w:szCs w:val="24"/>
        </w:rPr>
      </w:pPr>
      <w:bookmarkStart w:id="1134" w:name="_Toc216355063"/>
      <w:r w:rsidRPr="00337E4B">
        <w:rPr>
          <w:rFonts w:ascii="Aptos" w:eastAsia="Times New Roman" w:hAnsi="Aptos" w:cs="Arial"/>
          <w:b/>
          <w:bCs/>
          <w:color w:val="002060"/>
          <w:kern w:val="36"/>
          <w:sz w:val="24"/>
          <w:szCs w:val="24"/>
        </w:rPr>
        <w:t>Japan pulls out of Vietnam nuclear project, complicating Hanoi's power plans</w:t>
      </w:r>
      <w:r w:rsidRPr="00337E4B">
        <w:rPr>
          <w:rFonts w:ascii="Arial" w:eastAsia="Times New Roman" w:hAnsi="Arial" w:cs="Arial"/>
          <w:b/>
          <w:bCs/>
          <w:color w:val="002060"/>
          <w:kern w:val="36"/>
          <w:sz w:val="24"/>
          <w:szCs w:val="24"/>
        </w:rPr>
        <w:t>​</w:t>
      </w:r>
      <w:bookmarkEnd w:id="1134"/>
    </w:p>
    <w:p w14:paraId="0D871B68" w14:textId="4AF64F0A" w:rsidR="00F63502" w:rsidRDefault="00337E4B" w:rsidP="00337E4B">
      <w:pPr>
        <w:spacing w:after="150" w:line="288" w:lineRule="auto"/>
        <w:jc w:val="both"/>
        <w:outlineLvl w:val="0"/>
        <w:rPr>
          <w:rFonts w:ascii="Aptos" w:eastAsia="Times New Roman" w:hAnsi="Aptos" w:cs="Times New Roman"/>
          <w:i/>
          <w:iCs/>
          <w:color w:val="002060"/>
          <w:kern w:val="36"/>
          <w:sz w:val="18"/>
          <w:szCs w:val="18"/>
        </w:rPr>
      </w:pPr>
      <w:bookmarkStart w:id="1135" w:name="_Toc216355064"/>
      <w:r w:rsidRPr="00337E4B">
        <w:rPr>
          <w:rFonts w:ascii="Aptos" w:eastAsia="Times New Roman" w:hAnsi="Aptos" w:cs="Times New Roman"/>
          <w:i/>
          <w:iCs/>
          <w:color w:val="002060"/>
          <w:kern w:val="36"/>
          <w:sz w:val="18"/>
          <w:szCs w:val="18"/>
        </w:rPr>
        <w:t>Reuters</w:t>
      </w:r>
      <w:bookmarkEnd w:id="1135"/>
    </w:p>
    <w:p w14:paraId="1CDAC422" w14:textId="77777777" w:rsidR="00337E4B" w:rsidRPr="00337E4B" w:rsidRDefault="00337E4B" w:rsidP="00337E4B">
      <w:pPr>
        <w:spacing w:after="150" w:line="288" w:lineRule="auto"/>
        <w:jc w:val="both"/>
        <w:outlineLvl w:val="0"/>
        <w:rPr>
          <w:rFonts w:ascii="Aptos" w:eastAsia="Times New Roman" w:hAnsi="Aptos" w:cs="Times New Roman"/>
          <w:i/>
          <w:iCs/>
          <w:color w:val="002060"/>
          <w:kern w:val="36"/>
          <w:sz w:val="18"/>
          <w:szCs w:val="18"/>
        </w:rPr>
      </w:pPr>
    </w:p>
    <w:p w14:paraId="27EE14E1"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Japan has dropped out of plans to build a major nuclear power plant in Vietnam because the time frame is too tight, Japanese ambassador Naoki Ito told Reuters, potentially complicating Vietnam's long-term strategy to avoid new power shortages.</w:t>
      </w:r>
    </w:p>
    <w:p w14:paraId="73A3B4D5"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Vietnam, home to large manufacturing operations for multinationals including Samsung and Apple, has faced </w:t>
      </w:r>
      <w:hyperlink r:id="rId9" w:history="1">
        <w:r w:rsidRPr="00337E4B">
          <w:rPr>
            <w:rFonts w:ascii="Aptos" w:eastAsia="Times New Roman" w:hAnsi="Aptos" w:cs="Arial"/>
            <w:color w:val="002060"/>
            <w:u w:val="single"/>
          </w:rPr>
          <w:t>major power blackouts</w:t>
        </w:r>
      </w:hyperlink>
      <w:r w:rsidRPr="00337E4B">
        <w:rPr>
          <w:rFonts w:ascii="Aptos" w:eastAsia="Times New Roman" w:hAnsi="Aptos" w:cs="Arial"/>
          <w:color w:val="002060"/>
        </w:rPr>
        <w:t> as demand from its huge industrial sector and expanding middle class often outpaces supplies, strained by increasingly frequent extreme weather, such as droughts and typhoons.</w:t>
      </w:r>
    </w:p>
    <w:p w14:paraId="518E0120"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"The Japanese side is not in a position to implement the Ninh Thuan 2 project," the ambassador to Vietnam said, referring to a plant with a planned capacity of 2 to 3.2 gigawatts. The project is part of Vietnam's </w:t>
      </w:r>
      <w:hyperlink r:id="rId10" w:history="1">
        <w:r w:rsidRPr="00337E4B">
          <w:rPr>
            <w:rFonts w:ascii="Aptos" w:eastAsia="Times New Roman" w:hAnsi="Aptos" w:cs="Arial"/>
            <w:color w:val="002060"/>
            <w:u w:val="single"/>
          </w:rPr>
          <w:t>strategy</w:t>
        </w:r>
      </w:hyperlink>
      <w:r w:rsidRPr="00337E4B">
        <w:rPr>
          <w:rFonts w:ascii="Aptos" w:eastAsia="Times New Roman" w:hAnsi="Aptos" w:cs="Arial"/>
          <w:color w:val="002060"/>
        </w:rPr>
        <w:t> to boost power generation capacity.</w:t>
      </w:r>
    </w:p>
    <w:p w14:paraId="4FCE0BE8"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Ninh Thuan 2 is scheduled to come online by 2035 alongside Ninh Thuan 1, a plant with the same capacity, according to the government's roadmap.</w:t>
      </w:r>
    </w:p>
    <w:p w14:paraId="2EAB909C"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Vietnam wants to increase electricity production from multiple sources, mostly renewables and gas, but projects have faced </w:t>
      </w:r>
      <w:hyperlink r:id="rId11" w:history="1">
        <w:r w:rsidRPr="00337E4B">
          <w:rPr>
            <w:rFonts w:ascii="Aptos" w:eastAsia="Times New Roman" w:hAnsi="Aptos" w:cs="Arial"/>
            <w:color w:val="002060"/>
            <w:u w:val="single"/>
          </w:rPr>
          <w:t>delays </w:t>
        </w:r>
      </w:hyperlink>
      <w:r w:rsidRPr="00337E4B">
        <w:rPr>
          <w:rFonts w:ascii="Aptos" w:eastAsia="Times New Roman" w:hAnsi="Aptos" w:cs="Arial"/>
          <w:color w:val="002060"/>
        </w:rPr>
        <w:t>and </w:t>
      </w:r>
      <w:hyperlink r:id="rId12" w:history="1">
        <w:r w:rsidRPr="00337E4B">
          <w:rPr>
            <w:rFonts w:ascii="Aptos" w:eastAsia="Times New Roman" w:hAnsi="Aptos" w:cs="Arial"/>
            <w:color w:val="002060"/>
            <w:u w:val="single"/>
          </w:rPr>
          <w:t>uncertainty</w:t>
        </w:r>
      </w:hyperlink>
      <w:r w:rsidRPr="00337E4B">
        <w:rPr>
          <w:rFonts w:ascii="Aptos" w:eastAsia="Times New Roman" w:hAnsi="Aptos" w:cs="Arial"/>
          <w:color w:val="002060"/>
        </w:rPr>
        <w:t> over regulatory and pricing issues.</w:t>
      </w:r>
    </w:p>
    <w:p w14:paraId="06D77589"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The announcement comes amid strains in usually close ties between Hanoi and Tokyo, including from a planned ban on petrol motorbikes in central Hanoi that has </w:t>
      </w:r>
      <w:hyperlink r:id="rId13" w:history="1">
        <w:r w:rsidRPr="00337E4B">
          <w:rPr>
            <w:rFonts w:ascii="Aptos" w:eastAsia="Times New Roman" w:hAnsi="Aptos" w:cs="Arial"/>
            <w:color w:val="002060"/>
            <w:u w:val="single"/>
          </w:rPr>
          <w:t>angered market-dominating Honda</w:t>
        </w:r>
      </w:hyperlink>
      <w:r w:rsidRPr="00337E4B">
        <w:rPr>
          <w:rFonts w:ascii="Aptos" w:eastAsia="Times New Roman" w:hAnsi="Aptos" w:cs="Arial"/>
          <w:color w:val="002060"/>
        </w:rPr>
        <w:t> </w:t>
      </w:r>
      <w:hyperlink r:id="rId14" w:tgtFrame="_blank" w:history="1">
        <w:r w:rsidRPr="00337E4B">
          <w:rPr>
            <w:rFonts w:ascii="Aptos" w:eastAsia="Times New Roman" w:hAnsi="Aptos" w:cs="Arial"/>
            <w:color w:val="002060"/>
            <w:u w:val="single"/>
          </w:rPr>
          <w:t>(</w:t>
        </w:r>
        <w:proofErr w:type="spellStart"/>
        <w:r w:rsidRPr="00337E4B">
          <w:rPr>
            <w:rFonts w:ascii="Aptos" w:eastAsia="Times New Roman" w:hAnsi="Aptos" w:cs="Arial"/>
            <w:color w:val="002060"/>
            <w:u w:val="single"/>
          </w:rPr>
          <w:t>7267.T</w:t>
        </w:r>
        <w:proofErr w:type="spellEnd"/>
        <w:r w:rsidRPr="00337E4B">
          <w:rPr>
            <w:rFonts w:ascii="Aptos" w:eastAsia="Times New Roman" w:hAnsi="Aptos" w:cs="Arial"/>
            <w:color w:val="002060"/>
            <w:u w:val="single"/>
          </w:rPr>
          <w:t>)</w:t>
        </w:r>
        <w:r w:rsidRPr="00337E4B">
          <w:rPr>
            <w:rFonts w:ascii="Aptos" w:eastAsia="Times New Roman" w:hAnsi="Aptos" w:cs="Arial"/>
            <w:color w:val="002060"/>
            <w:u w:val="single"/>
            <w:bdr w:val="none" w:sz="0" w:space="0" w:color="auto" w:frame="1"/>
          </w:rPr>
          <w:t>, opens new tab</w:t>
        </w:r>
      </w:hyperlink>
      <w:r w:rsidRPr="00337E4B">
        <w:rPr>
          <w:rFonts w:ascii="Aptos" w:eastAsia="Times New Roman" w:hAnsi="Aptos" w:cs="Arial"/>
          <w:color w:val="002060"/>
        </w:rPr>
        <w:t xml:space="preserve">. A letter about the issue from Japan's embassy to Vietnamese authorities in September has still not been formally answered, Ito said, though he said that Vietnamese authorities might </w:t>
      </w:r>
      <w:proofErr w:type="spellStart"/>
      <w:r w:rsidRPr="00337E4B">
        <w:rPr>
          <w:rFonts w:ascii="Aptos" w:eastAsia="Times New Roman" w:hAnsi="Aptos" w:cs="Arial"/>
          <w:color w:val="002060"/>
        </w:rPr>
        <w:t>organise</w:t>
      </w:r>
      <w:proofErr w:type="spellEnd"/>
      <w:r w:rsidRPr="00337E4B">
        <w:rPr>
          <w:rFonts w:ascii="Aptos" w:eastAsia="Times New Roman" w:hAnsi="Aptos" w:cs="Arial"/>
          <w:color w:val="002060"/>
        </w:rPr>
        <w:t xml:space="preserve"> further consultations on the matter.</w:t>
      </w:r>
    </w:p>
    <w:p w14:paraId="2B07E264" w14:textId="77777777" w:rsidR="00337E4B" w:rsidRPr="00337E4B" w:rsidRDefault="00337E4B" w:rsidP="00337E4B">
      <w:pPr>
        <w:spacing w:before="360" w:after="180" w:line="288" w:lineRule="auto"/>
        <w:jc w:val="both"/>
        <w:outlineLvl w:val="1"/>
        <w:rPr>
          <w:rFonts w:ascii="Aptos" w:eastAsia="Times New Roman" w:hAnsi="Aptos" w:cs="Arial"/>
          <w:color w:val="002060"/>
        </w:rPr>
      </w:pPr>
      <w:bookmarkStart w:id="1136" w:name="_Toc216355065"/>
      <w:r w:rsidRPr="00337E4B">
        <w:rPr>
          <w:rFonts w:ascii="Aptos" w:eastAsia="Times New Roman" w:hAnsi="Aptos" w:cs="Arial"/>
          <w:color w:val="002060"/>
        </w:rPr>
        <w:t>RUSSIA, JAPAN WERE ORIGINAL PARTNERS</w:t>
      </w:r>
      <w:bookmarkEnd w:id="1136"/>
    </w:p>
    <w:p w14:paraId="6884E8D2"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 xml:space="preserve">Work on both nuclear plants in central Vietnam started in the early </w:t>
      </w:r>
      <w:proofErr w:type="spellStart"/>
      <w:r w:rsidRPr="00337E4B">
        <w:rPr>
          <w:rFonts w:ascii="Aptos" w:eastAsia="Times New Roman" w:hAnsi="Aptos" w:cs="Arial"/>
          <w:color w:val="002060"/>
        </w:rPr>
        <w:t>2010s</w:t>
      </w:r>
      <w:proofErr w:type="spellEnd"/>
      <w:r w:rsidRPr="00337E4B">
        <w:rPr>
          <w:rFonts w:ascii="Aptos" w:eastAsia="Times New Roman" w:hAnsi="Aptos" w:cs="Arial"/>
          <w:color w:val="002060"/>
        </w:rPr>
        <w:t xml:space="preserve"> but was halted in 2016 when Hanoi suspended its nuclear power </w:t>
      </w:r>
      <w:proofErr w:type="spellStart"/>
      <w:r w:rsidRPr="00337E4B">
        <w:rPr>
          <w:rFonts w:ascii="Aptos" w:eastAsia="Times New Roman" w:hAnsi="Aptos" w:cs="Arial"/>
          <w:color w:val="002060"/>
        </w:rPr>
        <w:t>programme</w:t>
      </w:r>
      <w:proofErr w:type="spellEnd"/>
      <w:r w:rsidRPr="00337E4B">
        <w:rPr>
          <w:rFonts w:ascii="Aptos" w:eastAsia="Times New Roman" w:hAnsi="Aptos" w:cs="Arial"/>
          <w:color w:val="002060"/>
        </w:rPr>
        <w:t xml:space="preserve"> over safety and budget concerns. Russia had been awarded the Ninh Thuan 1 project, and Japan the second plant.</w:t>
      </w:r>
    </w:p>
    <w:p w14:paraId="4DE4BFF7"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 xml:space="preserve">After it resumed its nuclear energy </w:t>
      </w:r>
      <w:proofErr w:type="spellStart"/>
      <w:r w:rsidRPr="00337E4B">
        <w:rPr>
          <w:rFonts w:ascii="Aptos" w:eastAsia="Times New Roman" w:hAnsi="Aptos" w:cs="Arial"/>
          <w:color w:val="002060"/>
        </w:rPr>
        <w:t>programme</w:t>
      </w:r>
      <w:proofErr w:type="spellEnd"/>
      <w:r w:rsidRPr="00337E4B">
        <w:rPr>
          <w:rFonts w:ascii="Aptos" w:eastAsia="Times New Roman" w:hAnsi="Aptos" w:cs="Arial"/>
          <w:color w:val="002060"/>
        </w:rPr>
        <w:t xml:space="preserve"> last year, Vietnam asked Japan and Russia to implement the projects, Ito said, but that after meetings with Vietnamese officials, Japan decided in November that it would pull out as the deadline for completion was too close.</w:t>
      </w:r>
    </w:p>
    <w:p w14:paraId="5BA55459"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Under the current timeline, Vietnam was expected to sign agreements with its international partners in September for Ninh Thuan 1 and in December for the second plant.</w:t>
      </w:r>
    </w:p>
    <w:p w14:paraId="70A1D091"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lastRenderedPageBreak/>
        <w:t xml:space="preserve">Vietnam's industry ministry and state-owned energy firm </w:t>
      </w:r>
      <w:proofErr w:type="spellStart"/>
      <w:r w:rsidRPr="00337E4B">
        <w:rPr>
          <w:rFonts w:ascii="Aptos" w:eastAsia="Times New Roman" w:hAnsi="Aptos" w:cs="Arial"/>
          <w:color w:val="002060"/>
        </w:rPr>
        <w:t>Petrovietnam</w:t>
      </w:r>
      <w:proofErr w:type="spellEnd"/>
      <w:r w:rsidRPr="00337E4B">
        <w:rPr>
          <w:rFonts w:ascii="Aptos" w:eastAsia="Times New Roman" w:hAnsi="Aptos" w:cs="Arial"/>
          <w:color w:val="002060"/>
        </w:rPr>
        <w:t>, which is the Vietnamese partner for Ninh Thuan 2, did not respond to requests for comment.</w:t>
      </w:r>
    </w:p>
    <w:p w14:paraId="62C47F22"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A Vietnamese official said no agreement had yet been signed for Ninh Thuan 1 either.</w:t>
      </w:r>
    </w:p>
    <w:p w14:paraId="274E35F0"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 xml:space="preserve">The Russian embassy in Vietnam and its Vietnamese partner for Ninh Thuan 1, state-owned grid operator </w:t>
      </w:r>
      <w:proofErr w:type="spellStart"/>
      <w:r w:rsidRPr="00337E4B">
        <w:rPr>
          <w:rFonts w:ascii="Aptos" w:eastAsia="Times New Roman" w:hAnsi="Aptos" w:cs="Arial"/>
          <w:color w:val="002060"/>
        </w:rPr>
        <w:t>EVN</w:t>
      </w:r>
      <w:proofErr w:type="spellEnd"/>
      <w:r w:rsidRPr="00337E4B">
        <w:rPr>
          <w:rFonts w:ascii="Aptos" w:eastAsia="Times New Roman" w:hAnsi="Aptos" w:cs="Arial"/>
          <w:color w:val="002060"/>
        </w:rPr>
        <w:t>, did not comment.</w:t>
      </w:r>
    </w:p>
    <w:p w14:paraId="7E77F1F4"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Japanese companies expressed little interest in the Vietnam project because they were focused on rebuilding skilled workforces disrupted by the Fukushima accident in 2011 that led to the temporary shutdown of Japan's nuclear power plants, said one person familiar with the discussions. They declined to be named as the information was not public.</w:t>
      </w:r>
    </w:p>
    <w:p w14:paraId="5A8A1F91" w14:textId="77777777"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The ambassador said Japan was still exploring options for additional plants in Vietnam at a later stage, especially small modular reactors.</w:t>
      </w:r>
    </w:p>
    <w:p w14:paraId="3505F259" w14:textId="3DC00DAF" w:rsidR="00337E4B" w:rsidRPr="00337E4B" w:rsidRDefault="00337E4B" w:rsidP="00337E4B">
      <w:pPr>
        <w:spacing w:after="180" w:line="288" w:lineRule="auto"/>
        <w:jc w:val="both"/>
        <w:rPr>
          <w:rFonts w:ascii="Aptos" w:eastAsia="Times New Roman" w:hAnsi="Aptos" w:cs="Arial"/>
          <w:color w:val="002060"/>
        </w:rPr>
      </w:pPr>
      <w:r w:rsidRPr="00337E4B">
        <w:rPr>
          <w:rFonts w:ascii="Aptos" w:eastAsia="Times New Roman" w:hAnsi="Aptos" w:cs="Arial"/>
          <w:color w:val="002060"/>
        </w:rPr>
        <w:t>French, South Korean and U.S. investors have expressed interest in the Ninh Thuan plants, multiple Vietnamese and foreign officials said.</w:t>
      </w:r>
    </w:p>
    <w:p w14:paraId="3D7B3091" w14:textId="77777777" w:rsidR="00337E4B" w:rsidRPr="00337E4B" w:rsidRDefault="00337E4B" w:rsidP="00337E4B">
      <w:pPr>
        <w:spacing w:after="180" w:line="288" w:lineRule="auto"/>
        <w:jc w:val="both"/>
        <w:rPr>
          <w:rFonts w:ascii="Aptos" w:eastAsia="Times New Roman" w:hAnsi="Aptos" w:cs="Arial"/>
          <w:color w:val="002060"/>
        </w:rPr>
      </w:pPr>
    </w:p>
    <w:p w14:paraId="4730FEB7" w14:textId="448ABAB7" w:rsidR="005151A5" w:rsidRPr="004C6CBE" w:rsidRDefault="00FA642B" w:rsidP="004A3101">
      <w:pPr>
        <w:spacing w:line="288" w:lineRule="auto"/>
        <w:jc w:val="right"/>
        <w:rPr>
          <w:rStyle w:val="Hyperlink"/>
          <w:rFonts w:ascii="Aptos" w:eastAsia="Malgun Gothic" w:hAnsi="Aptos" w:cs="Times New Roman"/>
          <w:color w:val="002060"/>
        </w:rPr>
      </w:pPr>
      <w:hyperlink w:anchor="_top" w:history="1">
        <w:r w:rsidR="009A345A" w:rsidRPr="004C6CBE">
          <w:rPr>
            <w:rStyle w:val="Hyperlink"/>
            <w:rFonts w:ascii="Aptos" w:eastAsia="Malgun Gothic" w:hAnsi="Aptos" w:cs="Times New Roman"/>
            <w:color w:val="002060"/>
          </w:rPr>
          <w:t>Back to Top</w:t>
        </w:r>
      </w:hyperlink>
      <w:bookmarkStart w:id="1137" w:name="_Toc203655872"/>
      <w:bookmarkStart w:id="1138" w:name="_Toc204262810"/>
      <w:bookmarkStart w:id="1139" w:name="_Toc204862970"/>
      <w:bookmarkStart w:id="1140" w:name="_Toc205466601"/>
      <w:bookmarkStart w:id="1141" w:name="_Toc206074516"/>
      <w:bookmarkStart w:id="1142" w:name="_Toc203047572"/>
      <w:bookmarkEnd w:id="1035"/>
      <w:bookmarkEnd w:id="1036"/>
      <w:bookmarkEnd w:id="1037"/>
      <w:bookmarkEnd w:id="1038"/>
      <w:bookmarkEnd w:id="1039"/>
      <w:bookmarkEnd w:id="1040"/>
      <w:bookmarkEnd w:id="1041"/>
      <w:bookmarkEnd w:id="1042"/>
    </w:p>
    <w:p w14:paraId="11867890" w14:textId="77777777" w:rsidR="008818AB" w:rsidRDefault="008818AB" w:rsidP="008818AB">
      <w:pPr>
        <w:spacing w:before="300" w:after="225" w:line="288" w:lineRule="auto"/>
        <w:jc w:val="both"/>
        <w:outlineLvl w:val="0"/>
        <w:rPr>
          <w:rFonts w:ascii="Aptos" w:eastAsia="Times New Roman" w:hAnsi="Aptos" w:cs="Arial"/>
          <w:b/>
          <w:bCs/>
          <w:color w:val="002060"/>
          <w:kern w:val="36"/>
        </w:rPr>
      </w:pPr>
    </w:p>
    <w:p w14:paraId="3C6A9A8D" w14:textId="4F73335E" w:rsidR="008818AB" w:rsidRPr="008818AB" w:rsidRDefault="008818AB" w:rsidP="008818AB">
      <w:pPr>
        <w:spacing w:before="300" w:after="225" w:line="288" w:lineRule="auto"/>
        <w:jc w:val="both"/>
        <w:outlineLvl w:val="0"/>
        <w:rPr>
          <w:rFonts w:ascii="Aptos" w:eastAsia="Times New Roman" w:hAnsi="Aptos" w:cs="Arial"/>
          <w:b/>
          <w:bCs/>
          <w:color w:val="002060"/>
          <w:kern w:val="36"/>
          <w:sz w:val="24"/>
          <w:szCs w:val="24"/>
        </w:rPr>
      </w:pPr>
      <w:bookmarkStart w:id="1143" w:name="_Toc216355066"/>
      <w:proofErr w:type="spellStart"/>
      <w:r w:rsidRPr="008818AB">
        <w:rPr>
          <w:rFonts w:ascii="Aptos" w:eastAsia="Times New Roman" w:hAnsi="Aptos" w:cs="Arial"/>
          <w:b/>
          <w:bCs/>
          <w:color w:val="002060"/>
          <w:kern w:val="36"/>
          <w:sz w:val="24"/>
          <w:szCs w:val="24"/>
        </w:rPr>
        <w:t>Kolon</w:t>
      </w:r>
      <w:proofErr w:type="spellEnd"/>
      <w:r w:rsidRPr="008818AB">
        <w:rPr>
          <w:rFonts w:ascii="Aptos" w:eastAsia="Times New Roman" w:hAnsi="Aptos" w:cs="Arial"/>
          <w:b/>
          <w:bCs/>
          <w:color w:val="002060"/>
          <w:kern w:val="36"/>
          <w:sz w:val="24"/>
          <w:szCs w:val="24"/>
        </w:rPr>
        <w:t xml:space="preserve"> industries and </w:t>
      </w:r>
      <w:proofErr w:type="spellStart"/>
      <w:r w:rsidRPr="008818AB">
        <w:rPr>
          <w:rFonts w:ascii="Aptos" w:eastAsia="Times New Roman" w:hAnsi="Aptos" w:cs="Arial"/>
          <w:b/>
          <w:bCs/>
          <w:color w:val="002060"/>
          <w:kern w:val="36"/>
          <w:sz w:val="24"/>
          <w:szCs w:val="24"/>
        </w:rPr>
        <w:t>NuriFlex</w:t>
      </w:r>
      <w:proofErr w:type="spellEnd"/>
      <w:r w:rsidRPr="008818AB">
        <w:rPr>
          <w:rFonts w:ascii="Aptos" w:eastAsia="Times New Roman" w:hAnsi="Aptos" w:cs="Arial"/>
          <w:b/>
          <w:bCs/>
          <w:color w:val="002060"/>
          <w:kern w:val="36"/>
          <w:sz w:val="24"/>
          <w:szCs w:val="24"/>
        </w:rPr>
        <w:t xml:space="preserve"> launch 5.151 MWp rooftop solar power system</w:t>
      </w:r>
      <w:bookmarkEnd w:id="1143"/>
    </w:p>
    <w:p w14:paraId="60B7DAB4" w14:textId="58ED5594" w:rsidR="008818AB" w:rsidRPr="008818AB" w:rsidRDefault="008818AB" w:rsidP="008818AB">
      <w:pPr>
        <w:spacing w:after="0" w:line="288" w:lineRule="auto"/>
        <w:jc w:val="both"/>
        <w:rPr>
          <w:rFonts w:ascii="Aptos" w:eastAsia="Times New Roman" w:hAnsi="Aptos" w:cs="Arial"/>
          <w:i/>
          <w:iCs/>
          <w:caps/>
          <w:color w:val="002060"/>
          <w:sz w:val="18"/>
          <w:szCs w:val="18"/>
        </w:rPr>
      </w:pPr>
      <w:proofErr w:type="spellStart"/>
      <w:r w:rsidRPr="008818AB">
        <w:rPr>
          <w:rFonts w:ascii="Aptos" w:eastAsia="Times New Roman" w:hAnsi="Aptos" w:cs="Arial"/>
          <w:i/>
          <w:iCs/>
          <w:caps/>
          <w:color w:val="002060"/>
          <w:sz w:val="18"/>
          <w:szCs w:val="18"/>
        </w:rPr>
        <w:t>VietnamENERGY</w:t>
      </w:r>
      <w:proofErr w:type="spellEnd"/>
    </w:p>
    <w:p w14:paraId="40986EEF" w14:textId="77777777" w:rsidR="008818AB" w:rsidRPr="008818AB" w:rsidRDefault="008818AB" w:rsidP="008818AB">
      <w:pPr>
        <w:spacing w:line="288" w:lineRule="auto"/>
        <w:jc w:val="both"/>
        <w:rPr>
          <w:rFonts w:ascii="Aptos" w:eastAsia="Times New Roman" w:hAnsi="Aptos" w:cs="Arial"/>
          <w:caps/>
          <w:color w:val="002060"/>
        </w:rPr>
      </w:pPr>
    </w:p>
    <w:p w14:paraId="084E102C" w14:textId="242F2B2F" w:rsidR="008818AB" w:rsidRPr="008818AB" w:rsidRDefault="008818AB" w:rsidP="008818AB">
      <w:pPr>
        <w:spacing w:line="288" w:lineRule="auto"/>
        <w:jc w:val="both"/>
        <w:rPr>
          <w:rFonts w:ascii="Aptos" w:eastAsia="Times New Roman" w:hAnsi="Aptos" w:cs="Arial"/>
          <w:color w:val="002060"/>
        </w:rPr>
      </w:pPr>
      <w:r w:rsidRPr="008818AB">
        <w:rPr>
          <w:rFonts w:ascii="Aptos" w:eastAsia="Times New Roman" w:hAnsi="Aptos" w:cs="Arial"/>
          <w:color w:val="002060"/>
        </w:rPr>
        <w:t xml:space="preserve">On December 8, 2025, </w:t>
      </w:r>
      <w:proofErr w:type="spellStart"/>
      <w:r w:rsidRPr="008818AB">
        <w:rPr>
          <w:rFonts w:ascii="Aptos" w:eastAsia="Times New Roman" w:hAnsi="Aptos" w:cs="Arial"/>
          <w:color w:val="002060"/>
        </w:rPr>
        <w:t>Kolon</w:t>
      </w:r>
      <w:proofErr w:type="spellEnd"/>
      <w:r w:rsidRPr="008818AB">
        <w:rPr>
          <w:rFonts w:ascii="Aptos" w:eastAsia="Times New Roman" w:hAnsi="Aptos" w:cs="Arial"/>
          <w:color w:val="002060"/>
        </w:rPr>
        <w:t xml:space="preserve"> Industries’ Ho Chi Minh City plant (formerly located in Binh Duong), in collaboration with </w:t>
      </w:r>
      <w:proofErr w:type="spellStart"/>
      <w:r w:rsidRPr="008818AB">
        <w:rPr>
          <w:rFonts w:ascii="Aptos" w:eastAsia="Times New Roman" w:hAnsi="Aptos" w:cs="Arial"/>
          <w:color w:val="002060"/>
        </w:rPr>
        <w:t>NuriFlex</w:t>
      </w:r>
      <w:proofErr w:type="spellEnd"/>
      <w:r w:rsidRPr="008818AB">
        <w:rPr>
          <w:rFonts w:ascii="Aptos" w:eastAsia="Times New Roman" w:hAnsi="Aptos" w:cs="Arial"/>
          <w:color w:val="002060"/>
        </w:rPr>
        <w:t xml:space="preserve"> Vietnam, officially commenced commercial operation of its 5.151 MWp rooftop solar power system. This development marks a meaningful step toward sustainable corporate governance and contributes to Vietnam’s national goal of carbon neutrality.</w:t>
      </w:r>
    </w:p>
    <w:p w14:paraId="2CDA48F8"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 xml:space="preserve">The project represents a key milestone in </w:t>
      </w:r>
      <w:proofErr w:type="spellStart"/>
      <w:r w:rsidRPr="008818AB">
        <w:rPr>
          <w:rFonts w:ascii="Aptos" w:eastAsia="Times New Roman" w:hAnsi="Aptos" w:cs="Arial"/>
          <w:color w:val="002060"/>
        </w:rPr>
        <w:t>Kolon</w:t>
      </w:r>
      <w:proofErr w:type="spellEnd"/>
      <w:r w:rsidRPr="008818AB">
        <w:rPr>
          <w:rFonts w:ascii="Aptos" w:eastAsia="Times New Roman" w:hAnsi="Aptos" w:cs="Arial"/>
          <w:color w:val="002060"/>
        </w:rPr>
        <w:t xml:space="preserve"> Industries’ </w:t>
      </w:r>
      <w:proofErr w:type="spellStart"/>
      <w:r w:rsidRPr="008818AB">
        <w:rPr>
          <w:rFonts w:ascii="Aptos" w:eastAsia="Times New Roman" w:hAnsi="Aptos" w:cs="Arial"/>
          <w:color w:val="002060"/>
        </w:rPr>
        <w:t>ESG</w:t>
      </w:r>
      <w:proofErr w:type="spellEnd"/>
      <w:r w:rsidRPr="008818AB">
        <w:rPr>
          <w:rFonts w:ascii="Aptos" w:eastAsia="Times New Roman" w:hAnsi="Aptos" w:cs="Arial"/>
          <w:color w:val="002060"/>
        </w:rPr>
        <w:t xml:space="preserve"> (Environmental, Social, and Governance) strategy. At the Binh Duong manufacturing facility, where value-added industrial materials such as tire cord are the integration of solar energy is expected to significantly reduce carbon emissions while strengthening environmentally responsible production practices in accordance with global sustainability standards.</w:t>
      </w:r>
    </w:p>
    <w:p w14:paraId="4D2E118F"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Installed across the factory rooftop, the system has a total capacity of 5.151 MWp and is projected to generate approximately 7.3 GWh of clean electricity per year. All power output will be consumed directly on-site under a self-generation, self-consumption model, helping optimize operational electricity costs while ensuring a stable and sustainable supply of green energy. This initiative aligns with the Vietnamese Government’s renewable energy development roadmap and is expected to contribute to Binh Duong Province’s broader smart-city strategy.</w:t>
      </w:r>
    </w:p>
    <w:p w14:paraId="7B646F04"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The commercial operation ceremony welcomed the participation of distinguished guests, including:</w:t>
      </w:r>
    </w:p>
    <w:p w14:paraId="5703E503"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 Mr. Jo Young-je, Commercial Counselor, Consulate General of the Republic of Korea in Ho Chi Minh City.</w:t>
      </w:r>
    </w:p>
    <w:p w14:paraId="4B7587F8"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 Mr. Kim Won-</w:t>
      </w:r>
      <w:proofErr w:type="spellStart"/>
      <w:r w:rsidRPr="008818AB">
        <w:rPr>
          <w:rFonts w:ascii="Aptos" w:eastAsia="Times New Roman" w:hAnsi="Aptos" w:cs="Arial"/>
          <w:color w:val="002060"/>
        </w:rPr>
        <w:t>sik</w:t>
      </w:r>
      <w:proofErr w:type="spellEnd"/>
      <w:r w:rsidRPr="008818AB">
        <w:rPr>
          <w:rFonts w:ascii="Aptos" w:eastAsia="Times New Roman" w:hAnsi="Aptos" w:cs="Arial"/>
          <w:color w:val="002060"/>
        </w:rPr>
        <w:t xml:space="preserve">, Honorary Chairman of </w:t>
      </w:r>
      <w:proofErr w:type="spellStart"/>
      <w:r w:rsidRPr="008818AB">
        <w:rPr>
          <w:rFonts w:ascii="Aptos" w:eastAsia="Times New Roman" w:hAnsi="Aptos" w:cs="Arial"/>
          <w:color w:val="002060"/>
        </w:rPr>
        <w:t>KOCHAM</w:t>
      </w:r>
      <w:proofErr w:type="spellEnd"/>
      <w:r w:rsidRPr="008818AB">
        <w:rPr>
          <w:rFonts w:ascii="Aptos" w:eastAsia="Times New Roman" w:hAnsi="Aptos" w:cs="Arial"/>
          <w:color w:val="002060"/>
        </w:rPr>
        <w:t xml:space="preserve"> Binh Duong.</w:t>
      </w:r>
    </w:p>
    <w:p w14:paraId="76EE13CD"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 Mr. Song Kwang-</w:t>
      </w:r>
      <w:proofErr w:type="spellStart"/>
      <w:r w:rsidRPr="008818AB">
        <w:rPr>
          <w:rFonts w:ascii="Aptos" w:eastAsia="Times New Roman" w:hAnsi="Aptos" w:cs="Arial"/>
          <w:color w:val="002060"/>
        </w:rPr>
        <w:t>seon</w:t>
      </w:r>
      <w:proofErr w:type="spellEnd"/>
      <w:r w:rsidRPr="008818AB">
        <w:rPr>
          <w:rFonts w:ascii="Aptos" w:eastAsia="Times New Roman" w:hAnsi="Aptos" w:cs="Arial"/>
          <w:color w:val="002060"/>
        </w:rPr>
        <w:t xml:space="preserve">, General Director, </w:t>
      </w:r>
      <w:proofErr w:type="spellStart"/>
      <w:r w:rsidRPr="008818AB">
        <w:rPr>
          <w:rFonts w:ascii="Aptos" w:eastAsia="Times New Roman" w:hAnsi="Aptos" w:cs="Arial"/>
          <w:color w:val="002060"/>
        </w:rPr>
        <w:t>Kolon</w:t>
      </w:r>
      <w:proofErr w:type="spellEnd"/>
      <w:r w:rsidRPr="008818AB">
        <w:rPr>
          <w:rFonts w:ascii="Aptos" w:eastAsia="Times New Roman" w:hAnsi="Aptos" w:cs="Arial"/>
          <w:color w:val="002060"/>
        </w:rPr>
        <w:t xml:space="preserve"> Industries Vietnam.</w:t>
      </w:r>
    </w:p>
    <w:p w14:paraId="267A9017"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 xml:space="preserve">• Mr. Kim Jin-young, General Director, </w:t>
      </w:r>
      <w:proofErr w:type="spellStart"/>
      <w:r w:rsidRPr="008818AB">
        <w:rPr>
          <w:rFonts w:ascii="Aptos" w:eastAsia="Times New Roman" w:hAnsi="Aptos" w:cs="Arial"/>
          <w:color w:val="002060"/>
        </w:rPr>
        <w:t>NuriFlex</w:t>
      </w:r>
      <w:proofErr w:type="spellEnd"/>
      <w:r w:rsidRPr="008818AB">
        <w:rPr>
          <w:rFonts w:ascii="Aptos" w:eastAsia="Times New Roman" w:hAnsi="Aptos" w:cs="Arial"/>
          <w:color w:val="002060"/>
        </w:rPr>
        <w:t xml:space="preserve"> Vietnam.</w:t>
      </w:r>
    </w:p>
    <w:p w14:paraId="46F69C7E" w14:textId="77777777" w:rsidR="008818AB" w:rsidRPr="008818AB" w:rsidRDefault="008818AB" w:rsidP="008818AB">
      <w:pPr>
        <w:spacing w:line="288" w:lineRule="auto"/>
        <w:jc w:val="both"/>
        <w:rPr>
          <w:rFonts w:ascii="Aptos" w:eastAsia="Times New Roman" w:hAnsi="Aptos" w:cs="Arial"/>
          <w:color w:val="002060"/>
        </w:rPr>
      </w:pPr>
      <w:r w:rsidRPr="008818AB">
        <w:rPr>
          <w:rFonts w:ascii="Aptos" w:eastAsia="Times New Roman" w:hAnsi="Aptos" w:cs="Arial"/>
          <w:color w:val="002060"/>
        </w:rPr>
        <w:lastRenderedPageBreak/>
        <w:t xml:space="preserve">Delegates praised the project's significance and emphasized the importance of renewable energy in achieving long-term, sustainable growth for </w:t>
      </w:r>
      <w:proofErr w:type="spellStart"/>
      <w:r w:rsidRPr="008818AB">
        <w:rPr>
          <w:rFonts w:ascii="Aptos" w:eastAsia="Times New Roman" w:hAnsi="Aptos" w:cs="Arial"/>
          <w:color w:val="002060"/>
        </w:rPr>
        <w:t>FDI</w:t>
      </w:r>
      <w:proofErr w:type="spellEnd"/>
      <w:r w:rsidRPr="008818AB">
        <w:rPr>
          <w:rFonts w:ascii="Aptos" w:eastAsia="Times New Roman" w:hAnsi="Aptos" w:cs="Arial"/>
          <w:color w:val="002060"/>
        </w:rPr>
        <w:t xml:space="preserve"> enterprises in Vietnam.</w:t>
      </w:r>
    </w:p>
    <w:p w14:paraId="163ABCD0" w14:textId="77777777" w:rsidR="008818AB" w:rsidRPr="008818AB" w:rsidRDefault="008818AB" w:rsidP="008818AB">
      <w:pPr>
        <w:spacing w:after="0" w:line="288" w:lineRule="auto"/>
        <w:jc w:val="both"/>
        <w:rPr>
          <w:rFonts w:ascii="Aptos" w:eastAsia="Times New Roman" w:hAnsi="Aptos" w:cs="Arial"/>
          <w:color w:val="002060"/>
        </w:rPr>
      </w:pPr>
      <w:r w:rsidRPr="008818AB">
        <w:rPr>
          <w:rFonts w:ascii="Aptos" w:eastAsia="Times New Roman" w:hAnsi="Aptos" w:cs="Arial"/>
          <w:color w:val="002060"/>
        </w:rPr>
        <w:t xml:space="preserve">The commercial operation of the 5.151 MWp solar system marks an important milestone in accelerating </w:t>
      </w:r>
      <w:proofErr w:type="spellStart"/>
      <w:r w:rsidRPr="008818AB">
        <w:rPr>
          <w:rFonts w:ascii="Aptos" w:eastAsia="Times New Roman" w:hAnsi="Aptos" w:cs="Arial"/>
          <w:color w:val="002060"/>
        </w:rPr>
        <w:t>Kolon</w:t>
      </w:r>
      <w:proofErr w:type="spellEnd"/>
      <w:r w:rsidRPr="008818AB">
        <w:rPr>
          <w:rFonts w:ascii="Aptos" w:eastAsia="Times New Roman" w:hAnsi="Aptos" w:cs="Arial"/>
          <w:color w:val="002060"/>
        </w:rPr>
        <w:t xml:space="preserve"> Industries’ sustainable growth in the global market. By expanding the adoption of environmentally friendly energy, we will continue to strengthen our environmental responsibility and reinforce our role as a corporate citizen deeply connected to the local community.</w:t>
      </w:r>
    </w:p>
    <w:p w14:paraId="24BA3B30" w14:textId="035FAED0" w:rsidR="007F4274" w:rsidRPr="008818AB" w:rsidRDefault="008818AB" w:rsidP="008818AB">
      <w:pPr>
        <w:spacing w:line="288" w:lineRule="auto"/>
        <w:jc w:val="both"/>
        <w:rPr>
          <w:rFonts w:ascii="Aptos" w:eastAsia="Times New Roman" w:hAnsi="Aptos" w:cs="Arial"/>
          <w:color w:val="002060"/>
        </w:rPr>
      </w:pPr>
      <w:proofErr w:type="spellStart"/>
      <w:r w:rsidRPr="008818AB">
        <w:rPr>
          <w:rFonts w:ascii="Aptos" w:eastAsia="Times New Roman" w:hAnsi="Aptos" w:cs="Arial"/>
          <w:color w:val="002060"/>
        </w:rPr>
        <w:t>Kolon</w:t>
      </w:r>
      <w:proofErr w:type="spellEnd"/>
      <w:r w:rsidRPr="008818AB">
        <w:rPr>
          <w:rFonts w:ascii="Aptos" w:eastAsia="Times New Roman" w:hAnsi="Aptos" w:cs="Arial"/>
          <w:color w:val="002060"/>
        </w:rPr>
        <w:t xml:space="preserve"> Industries reaffirmed its commitment to expanding renewable energy adoption across all of its global production facilities, including operations in Vietnam. The company also plans to increase investment in high-efficiency manufacturing technologies, eco-friendly materials, and energy-saving solutions, further strengthening its position as a leading global producer of sustainable materials.</w:t>
      </w:r>
    </w:p>
    <w:bookmarkEnd w:id="1137"/>
    <w:bookmarkEnd w:id="1138"/>
    <w:bookmarkEnd w:id="1139"/>
    <w:bookmarkEnd w:id="1140"/>
    <w:bookmarkEnd w:id="1141"/>
    <w:bookmarkEnd w:id="1142"/>
    <w:p w14:paraId="7F45BB76" w14:textId="7F9ACDDB" w:rsidR="00684BD2" w:rsidRPr="004C6CBE"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C350DE3" w14:textId="77777777" w:rsidR="00E25D20" w:rsidRPr="004C6CBE" w:rsidRDefault="00E25D20" w:rsidP="00687F12">
      <w:pPr>
        <w:pStyle w:val="Heading1"/>
        <w:shd w:val="clear" w:color="auto" w:fill="FFFFFF"/>
        <w:spacing w:before="0" w:line="288" w:lineRule="atLeast"/>
        <w:rPr>
          <w:rFonts w:ascii="Aptos" w:eastAsia="Malgun Gothic" w:hAnsi="Aptos" w:cs="Times New Roman"/>
          <w:color w:val="002060"/>
        </w:rPr>
      </w:pPr>
    </w:p>
    <w:p w14:paraId="1B390808" w14:textId="77777777" w:rsidR="009962D0" w:rsidRPr="004C6CBE" w:rsidRDefault="009962D0" w:rsidP="00687F12">
      <w:pPr>
        <w:pStyle w:val="Heading1"/>
        <w:shd w:val="clear" w:color="auto" w:fill="FFFFFF"/>
        <w:spacing w:before="0" w:line="288" w:lineRule="atLeast"/>
        <w:rPr>
          <w:rFonts w:ascii="Aptos" w:eastAsia="Malgun Gothic" w:hAnsi="Aptos" w:cs="Times New Roman"/>
          <w:color w:val="002060"/>
        </w:rPr>
      </w:pPr>
    </w:p>
    <w:p w14:paraId="765F44B4" w14:textId="77777777" w:rsidR="009962D0" w:rsidRDefault="009962D0" w:rsidP="00687F12">
      <w:pPr>
        <w:pStyle w:val="Heading1"/>
        <w:shd w:val="clear" w:color="auto" w:fill="FFFFFF"/>
        <w:spacing w:before="0" w:line="288" w:lineRule="atLeast"/>
        <w:rPr>
          <w:rFonts w:ascii="Aptos" w:eastAsia="Malgun Gothic" w:hAnsi="Aptos" w:cs="Times New Roman"/>
          <w:color w:val="002060"/>
        </w:rPr>
      </w:pPr>
    </w:p>
    <w:p w14:paraId="3E639D87" w14:textId="77777777" w:rsidR="007F4274" w:rsidRPr="007F4274" w:rsidRDefault="007F4274" w:rsidP="007F4274"/>
    <w:p w14:paraId="32EBC1B5" w14:textId="0AD40806" w:rsidR="00965321" w:rsidRDefault="00687F12" w:rsidP="00965321">
      <w:pPr>
        <w:pStyle w:val="Heading1"/>
        <w:shd w:val="clear" w:color="auto" w:fill="FFFFFF"/>
        <w:spacing w:before="0" w:line="288" w:lineRule="atLeast"/>
        <w:rPr>
          <w:rFonts w:ascii="Aptos" w:eastAsia="Malgun Gothic" w:hAnsi="Aptos" w:cs="Times New Roman"/>
          <w:color w:val="002060"/>
        </w:rPr>
      </w:pPr>
      <w:bookmarkStart w:id="1144" w:name="_Toc215144391"/>
      <w:bookmarkStart w:id="1145" w:name="_Toc215750969"/>
      <w:bookmarkStart w:id="1146" w:name="_Toc216355067"/>
      <w:r w:rsidRPr="004C6CBE">
        <w:rPr>
          <w:rFonts w:ascii="Aptos" w:eastAsia="Malgun Gothic" w:hAnsi="Aptos" w:cs="Times New Roman"/>
          <w:color w:val="002060"/>
        </w:rPr>
        <w:t>LEGAL</w:t>
      </w:r>
      <w:bookmarkEnd w:id="1144"/>
      <w:bookmarkEnd w:id="1145"/>
      <w:bookmarkEnd w:id="1146"/>
    </w:p>
    <w:p w14:paraId="2DE0ECAF" w14:textId="77777777" w:rsidR="00EC37A7" w:rsidRDefault="00EC37A7" w:rsidP="00EC37A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7C795999" w14:textId="09A8DADC" w:rsidR="00EC37A7" w:rsidRPr="00EC37A7" w:rsidRDefault="00EC37A7" w:rsidP="00EC37A7">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47" w:name="_Toc216355068"/>
      <w:r w:rsidRPr="00EC37A7">
        <w:rPr>
          <w:rFonts w:ascii="Aptos" w:eastAsia="Times New Roman" w:hAnsi="Aptos" w:cs="Times New Roman"/>
          <w:b/>
          <w:bCs/>
          <w:color w:val="002060"/>
          <w:kern w:val="36"/>
          <w:sz w:val="28"/>
          <w:szCs w:val="28"/>
        </w:rPr>
        <w:t>Foreign investors exempt from asset and income declaration as new Anti-Corruption Law passes</w:t>
      </w:r>
      <w:bookmarkEnd w:id="1147"/>
    </w:p>
    <w:p w14:paraId="566F397E" w14:textId="70A51F26" w:rsidR="00EC37A7" w:rsidRPr="00EC37A7" w:rsidRDefault="00EC37A7" w:rsidP="00EC37A7">
      <w:pPr>
        <w:spacing w:after="0" w:line="288" w:lineRule="auto"/>
        <w:jc w:val="both"/>
        <w:rPr>
          <w:rFonts w:ascii="Aptos" w:eastAsia="Times New Roman" w:hAnsi="Aptos" w:cs="Times New Roman"/>
          <w:i/>
          <w:iCs/>
          <w:color w:val="002060"/>
        </w:rPr>
      </w:pPr>
      <w:r w:rsidRPr="00EC37A7">
        <w:rPr>
          <w:rFonts w:ascii="Aptos" w:eastAsia="Times New Roman" w:hAnsi="Aptos" w:cs="Times New Roman"/>
          <w:i/>
          <w:iCs/>
          <w:color w:val="002060"/>
          <w:sz w:val="18"/>
          <w:szCs w:val="18"/>
        </w:rPr>
        <w:t>VET</w:t>
      </w:r>
      <w:r w:rsidRPr="00EC37A7">
        <w:rPr>
          <w:rFonts w:ascii="Aptos" w:eastAsia="Times New Roman" w:hAnsi="Aptos" w:cs="Times New Roman"/>
          <w:i/>
          <w:iCs/>
          <w:color w:val="002060"/>
        </w:rPr>
        <w:br/>
      </w:r>
    </w:p>
    <w:p w14:paraId="03FD7ACF" w14:textId="77777777" w:rsidR="00EC37A7" w:rsidRPr="00EC37A7" w:rsidRDefault="00EC37A7" w:rsidP="00EC37A7">
      <w:pPr>
        <w:spacing w:after="100" w:afterAutospacing="1" w:line="288" w:lineRule="auto"/>
        <w:jc w:val="both"/>
        <w:outlineLvl w:val="1"/>
        <w:rPr>
          <w:rFonts w:ascii="Aptos" w:eastAsia="Times New Roman" w:hAnsi="Aptos" w:cs="Arial"/>
          <w:b/>
          <w:bCs/>
          <w:i/>
          <w:iCs/>
          <w:color w:val="002060"/>
        </w:rPr>
      </w:pPr>
      <w:bookmarkStart w:id="1148" w:name="_Toc216355069"/>
      <w:r w:rsidRPr="00EC37A7">
        <w:rPr>
          <w:rFonts w:ascii="Aptos" w:eastAsia="Times New Roman" w:hAnsi="Aptos" w:cs="Arial"/>
          <w:b/>
          <w:bCs/>
          <w:i/>
          <w:iCs/>
          <w:color w:val="002060"/>
        </w:rPr>
        <w:t>According to the Government's report, mandating that individuals assigned to manage and operate a State-owned enterprise which holds more than 50% of charter capital must declare their assets and income is appropriate.</w:t>
      </w:r>
      <w:bookmarkEnd w:id="1148"/>
    </w:p>
    <w:p w14:paraId="2E5CF71F" w14:textId="4E51A53F"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The National Assembly (NA) on December 10 passed a law amending and supplementing certain articles of the Law on Anti-Corruption, expanding the scope of individuals required to declare assets and income within State-owned enterprises.</w:t>
      </w:r>
    </w:p>
    <w:p w14:paraId="3F812246"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The Law will take effect on July 1, 2026.</w:t>
      </w:r>
    </w:p>
    <w:p w14:paraId="580CB23E"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During the discussion process, many NA deputies supported expanding the scope of declaration from enterprises with 100% State capital to those where the State holds more than 50% of the charter capital.</w:t>
      </w:r>
    </w:p>
    <w:p w14:paraId="7A1ED40E"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However, some delegates requested clarification regarding the feasibility of the regulations and the specific subjects required to declare, particularly in cases involving foreign participation in management. The Government subsequently submitted a report explaining, absorbing feedback, and revising the draft law.</w:t>
      </w:r>
    </w:p>
    <w:p w14:paraId="0BBA0DA2"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lastRenderedPageBreak/>
        <w:t>According to the Government's report, mandating that individuals assigned to manage and operate a State-owned enterprise which holds more than 50% of its charter capital declare their assets and income is appropriate. This aligns with current anti-corruption requirements and ensures consistency with the Law on Enterprises and the Law on Management and Use of State Capital Invested in Production and Business at Enterprises.</w:t>
      </w:r>
    </w:p>
    <w:p w14:paraId="7BA9ACBB"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Based on this regulation, the Government will specify that those required to declare assets and income at State-owned enterprises include direct ownership representatives, representatives of State capital, and certain titles and positions within the enterprise. Crucially, this requirement excludes foreign nationals or individuals from the non-state sector.</w:t>
      </w:r>
    </w:p>
    <w:p w14:paraId="37547A92"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Notably, the Government has absorbed feedback and provided explanations regarding regulations on "asset values and income levels requiring declaration and supplementary declaration."</w:t>
      </w:r>
    </w:p>
    <w:p w14:paraId="3EEEF799"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 xml:space="preserve">Specifically, the threshold for declaration has been raised from </w:t>
      </w:r>
      <w:proofErr w:type="spellStart"/>
      <w:r w:rsidRPr="00EC37A7">
        <w:rPr>
          <w:rFonts w:ascii="Aptos" w:eastAsia="Times New Roman" w:hAnsi="Aptos" w:cs="Arial"/>
          <w:color w:val="002060"/>
        </w:rPr>
        <w:t>VND50</w:t>
      </w:r>
      <w:proofErr w:type="spellEnd"/>
      <w:r w:rsidRPr="00EC37A7">
        <w:rPr>
          <w:rFonts w:ascii="Aptos" w:eastAsia="Times New Roman" w:hAnsi="Aptos" w:cs="Arial"/>
          <w:color w:val="002060"/>
        </w:rPr>
        <w:t xml:space="preserve"> million (nearly $1,900) to </w:t>
      </w:r>
      <w:proofErr w:type="spellStart"/>
      <w:r w:rsidRPr="00EC37A7">
        <w:rPr>
          <w:rFonts w:ascii="Aptos" w:eastAsia="Times New Roman" w:hAnsi="Aptos" w:cs="Arial"/>
          <w:color w:val="002060"/>
        </w:rPr>
        <w:t>VND150</w:t>
      </w:r>
      <w:proofErr w:type="spellEnd"/>
      <w:r w:rsidRPr="00EC37A7">
        <w:rPr>
          <w:rFonts w:ascii="Aptos" w:eastAsia="Times New Roman" w:hAnsi="Aptos" w:cs="Arial"/>
          <w:color w:val="002060"/>
        </w:rPr>
        <w:t xml:space="preserve"> million (nearly $5,700), while the threshold for supplementary assets and income fluctuations within the year has increased from </w:t>
      </w:r>
      <w:proofErr w:type="spellStart"/>
      <w:r w:rsidRPr="00EC37A7">
        <w:rPr>
          <w:rFonts w:ascii="Aptos" w:eastAsia="Times New Roman" w:hAnsi="Aptos" w:cs="Arial"/>
          <w:color w:val="002060"/>
        </w:rPr>
        <w:t>VND300</w:t>
      </w:r>
      <w:proofErr w:type="spellEnd"/>
      <w:r w:rsidRPr="00EC37A7">
        <w:rPr>
          <w:rFonts w:ascii="Aptos" w:eastAsia="Times New Roman" w:hAnsi="Aptos" w:cs="Arial"/>
          <w:color w:val="002060"/>
        </w:rPr>
        <w:t xml:space="preserve"> million (nearly $11,400) to </w:t>
      </w:r>
      <w:proofErr w:type="spellStart"/>
      <w:r w:rsidRPr="00EC37A7">
        <w:rPr>
          <w:rFonts w:ascii="Aptos" w:eastAsia="Times New Roman" w:hAnsi="Aptos" w:cs="Arial"/>
          <w:color w:val="002060"/>
        </w:rPr>
        <w:t>VND1</w:t>
      </w:r>
      <w:proofErr w:type="spellEnd"/>
      <w:r w:rsidRPr="00EC37A7">
        <w:rPr>
          <w:rFonts w:ascii="Aptos" w:eastAsia="Times New Roman" w:hAnsi="Aptos" w:cs="Arial"/>
          <w:color w:val="002060"/>
        </w:rPr>
        <w:t xml:space="preserve"> billion (nearly $38,000).</w:t>
      </w:r>
    </w:p>
    <w:p w14:paraId="709D8A23"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According to the Government, these adjustments are based on two factors. First, there have been three salary increases since 2018. Second, socio-economic conditions have developed nearly threefold, with market prices, in particular, seeing significant increases compared to 2018.</w:t>
      </w:r>
    </w:p>
    <w:p w14:paraId="66C94D95"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Regarding "digital assets," as current laws lack comprehensive regulations, they have not yet been included in the draft law.</w:t>
      </w:r>
    </w:p>
    <w:p w14:paraId="53B24A7C" w14:textId="77777777" w:rsidR="00EC37A7" w:rsidRPr="00EC37A7" w:rsidRDefault="00EC37A7" w:rsidP="00EC37A7">
      <w:pPr>
        <w:spacing w:before="100" w:beforeAutospacing="1" w:after="100" w:afterAutospacing="1" w:line="288" w:lineRule="auto"/>
        <w:jc w:val="both"/>
        <w:rPr>
          <w:rFonts w:ascii="Aptos" w:eastAsia="Times New Roman" w:hAnsi="Aptos" w:cs="Arial"/>
          <w:color w:val="002060"/>
        </w:rPr>
      </w:pPr>
      <w:r w:rsidRPr="00EC37A7">
        <w:rPr>
          <w:rFonts w:ascii="Aptos" w:eastAsia="Times New Roman" w:hAnsi="Aptos" w:cs="Arial"/>
          <w:color w:val="002060"/>
        </w:rPr>
        <w:t>The Government has assigned the Government Inspectorate to coordinate with the Ministry of Finance and relevant agencies to continue researching and proposing regulations once sufficient legal grounds are established and during the comprehensive amendment of the Law on Anti-Corruption.</w:t>
      </w:r>
    </w:p>
    <w:p w14:paraId="75882333" w14:textId="77777777" w:rsidR="00965321" w:rsidRPr="00965321" w:rsidRDefault="00965321" w:rsidP="00965321"/>
    <w:p w14:paraId="2D117245" w14:textId="3D975B70" w:rsidR="00C810AC" w:rsidRDefault="00FA642B" w:rsidP="00C810AC">
      <w:pPr>
        <w:spacing w:line="288" w:lineRule="auto"/>
        <w:jc w:val="right"/>
        <w:rPr>
          <w:rStyle w:val="Hyperlink"/>
          <w:rFonts w:ascii="Aptos" w:eastAsia="Malgun Gothic" w:hAnsi="Aptos" w:cs="Times New Roman"/>
          <w:color w:val="002060"/>
        </w:rPr>
      </w:pPr>
      <w:hyperlink w:anchor="_top" w:history="1">
        <w:r w:rsidR="007D0B2D" w:rsidRPr="004C6CBE">
          <w:rPr>
            <w:rStyle w:val="Hyperlink"/>
            <w:rFonts w:ascii="Aptos" w:eastAsia="Malgun Gothic" w:hAnsi="Aptos" w:cs="Times New Roman"/>
            <w:color w:val="002060"/>
          </w:rPr>
          <w:t>Back to Top</w:t>
        </w:r>
      </w:hyperlink>
    </w:p>
    <w:p w14:paraId="31F26E5F" w14:textId="77777777" w:rsidR="00175697" w:rsidRDefault="00175697" w:rsidP="00C810AC">
      <w:pPr>
        <w:spacing w:line="288" w:lineRule="auto"/>
        <w:jc w:val="right"/>
        <w:rPr>
          <w:rStyle w:val="Hyperlink"/>
          <w:rFonts w:ascii="Aptos" w:eastAsia="Malgun Gothic" w:hAnsi="Aptos" w:cs="Times New Roman"/>
          <w:color w:val="002060"/>
        </w:rPr>
      </w:pPr>
    </w:p>
    <w:p w14:paraId="68D9A957" w14:textId="77777777" w:rsidR="00965321" w:rsidRDefault="00965321" w:rsidP="00C810AC">
      <w:pPr>
        <w:spacing w:line="288" w:lineRule="auto"/>
        <w:jc w:val="right"/>
        <w:rPr>
          <w:rStyle w:val="Hyperlink"/>
          <w:rFonts w:ascii="Aptos" w:eastAsia="Malgun Gothic" w:hAnsi="Aptos" w:cs="Times New Roman"/>
          <w:color w:val="002060"/>
        </w:rPr>
      </w:pPr>
    </w:p>
    <w:p w14:paraId="2032A08E" w14:textId="77777777" w:rsidR="00175697" w:rsidRPr="00175697" w:rsidRDefault="00175697" w:rsidP="00175697">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149" w:name="_Toc216355070"/>
      <w:r w:rsidRPr="00175697">
        <w:rPr>
          <w:rFonts w:ascii="Aptos" w:eastAsia="Times New Roman" w:hAnsi="Aptos" w:cs="Times New Roman"/>
          <w:b/>
          <w:bCs/>
          <w:color w:val="002060"/>
          <w:kern w:val="36"/>
          <w:sz w:val="24"/>
          <w:szCs w:val="24"/>
        </w:rPr>
        <w:t>Law on Personal Income Tax (amended) approved</w:t>
      </w:r>
      <w:bookmarkEnd w:id="1149"/>
    </w:p>
    <w:p w14:paraId="5146380F" w14:textId="5991EE38" w:rsidR="00175697" w:rsidRPr="00175697" w:rsidRDefault="00175697" w:rsidP="00175697">
      <w:pPr>
        <w:spacing w:after="0" w:line="288" w:lineRule="auto"/>
        <w:jc w:val="both"/>
        <w:rPr>
          <w:rFonts w:ascii="Aptos" w:eastAsia="Times New Roman" w:hAnsi="Aptos" w:cs="Times New Roman"/>
          <w:i/>
          <w:iCs/>
          <w:color w:val="002060"/>
        </w:rPr>
      </w:pPr>
      <w:r w:rsidRPr="00175697">
        <w:rPr>
          <w:rFonts w:ascii="Aptos" w:eastAsia="Times New Roman" w:hAnsi="Aptos" w:cs="Times New Roman"/>
          <w:i/>
          <w:iCs/>
          <w:color w:val="002060"/>
          <w:sz w:val="18"/>
          <w:szCs w:val="18"/>
        </w:rPr>
        <w:t>VET</w:t>
      </w:r>
      <w:r w:rsidRPr="00175697">
        <w:rPr>
          <w:rFonts w:ascii="Aptos" w:eastAsia="Times New Roman" w:hAnsi="Aptos" w:cs="Times New Roman"/>
          <w:i/>
          <w:iCs/>
          <w:color w:val="002060"/>
        </w:rPr>
        <w:br/>
      </w:r>
    </w:p>
    <w:p w14:paraId="0DE17470" w14:textId="77777777" w:rsidR="00175697" w:rsidRPr="00175697" w:rsidRDefault="00175697" w:rsidP="00175697">
      <w:pPr>
        <w:spacing w:after="100" w:afterAutospacing="1" w:line="288" w:lineRule="auto"/>
        <w:jc w:val="both"/>
        <w:outlineLvl w:val="1"/>
        <w:rPr>
          <w:rFonts w:ascii="Aptos" w:eastAsia="Times New Roman" w:hAnsi="Aptos" w:cs="Arial"/>
          <w:b/>
          <w:bCs/>
          <w:color w:val="002060"/>
        </w:rPr>
      </w:pPr>
      <w:bookmarkStart w:id="1150" w:name="_Toc216355071"/>
      <w:r w:rsidRPr="00175697">
        <w:rPr>
          <w:rFonts w:ascii="Aptos" w:eastAsia="Times New Roman" w:hAnsi="Aptos" w:cs="Arial"/>
          <w:b/>
          <w:bCs/>
          <w:color w:val="002060"/>
        </w:rPr>
        <w:t>The new law, passed by the National Assembly on December 10, will take effect on July 1, 2026.</w:t>
      </w:r>
      <w:bookmarkEnd w:id="1150"/>
    </w:p>
    <w:p w14:paraId="3C3D8162" w14:textId="77777777" w:rsidR="00175697" w:rsidRPr="00175697" w:rsidRDefault="00175697" w:rsidP="00175697">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The new law, passed by the National Assembly on December 10, will take effect on July 1, 2026.</w:t>
      </w:r>
    </w:p>
    <w:p w14:paraId="1E996A90" w14:textId="77777777" w:rsidR="00175697" w:rsidRPr="00175697" w:rsidRDefault="00175697" w:rsidP="00175697">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The National Assembly, during its ongoing 10th sitting, on December 10 approved the revised Law on Personal Income Tax (PIT), scheduled to take effect from July 1, 2026.</w:t>
      </w:r>
    </w:p>
    <w:p w14:paraId="7E99E79B" w14:textId="77777777" w:rsidR="00175697" w:rsidRPr="00175697" w:rsidRDefault="00175697" w:rsidP="00175697">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lastRenderedPageBreak/>
        <w:t xml:space="preserve">Under the new law, the annual tax-exempt revenue threshold for a business household shall be increased to </w:t>
      </w:r>
      <w:proofErr w:type="spellStart"/>
      <w:r w:rsidRPr="00175697">
        <w:rPr>
          <w:rFonts w:ascii="Aptos" w:eastAsia="Times New Roman" w:hAnsi="Aptos" w:cs="Arial"/>
          <w:color w:val="002060"/>
        </w:rPr>
        <w:t>VND500</w:t>
      </w:r>
      <w:proofErr w:type="spellEnd"/>
      <w:r w:rsidRPr="00175697">
        <w:rPr>
          <w:rFonts w:ascii="Aptos" w:eastAsia="Times New Roman" w:hAnsi="Aptos" w:cs="Arial"/>
          <w:color w:val="002060"/>
        </w:rPr>
        <w:t xml:space="preserve"> million (over $18,000) from the current </w:t>
      </w:r>
      <w:proofErr w:type="spellStart"/>
      <w:r w:rsidRPr="00175697">
        <w:rPr>
          <w:rFonts w:ascii="Aptos" w:eastAsia="Times New Roman" w:hAnsi="Aptos" w:cs="Arial"/>
          <w:color w:val="002060"/>
        </w:rPr>
        <w:t>VND100</w:t>
      </w:r>
      <w:proofErr w:type="spellEnd"/>
      <w:r w:rsidRPr="00175697">
        <w:rPr>
          <w:rFonts w:ascii="Aptos" w:eastAsia="Times New Roman" w:hAnsi="Aptos" w:cs="Arial"/>
          <w:color w:val="002060"/>
        </w:rPr>
        <w:t xml:space="preserve"> million (and </w:t>
      </w:r>
      <w:proofErr w:type="spellStart"/>
      <w:r w:rsidRPr="00175697">
        <w:rPr>
          <w:rFonts w:ascii="Aptos" w:eastAsia="Times New Roman" w:hAnsi="Aptos" w:cs="Arial"/>
          <w:color w:val="002060"/>
        </w:rPr>
        <w:t>VND200</w:t>
      </w:r>
      <w:proofErr w:type="spellEnd"/>
      <w:r w:rsidRPr="00175697">
        <w:rPr>
          <w:rFonts w:ascii="Aptos" w:eastAsia="Times New Roman" w:hAnsi="Aptos" w:cs="Arial"/>
          <w:color w:val="002060"/>
        </w:rPr>
        <w:t xml:space="preserve"> million proposed in earlier drafts). Accordingly, a household business earning </w:t>
      </w:r>
      <w:proofErr w:type="spellStart"/>
      <w:r w:rsidRPr="00175697">
        <w:rPr>
          <w:rFonts w:ascii="Aptos" w:eastAsia="Times New Roman" w:hAnsi="Aptos" w:cs="Arial"/>
          <w:color w:val="002060"/>
        </w:rPr>
        <w:t>VND500</w:t>
      </w:r>
      <w:proofErr w:type="spellEnd"/>
      <w:r w:rsidRPr="00175697">
        <w:rPr>
          <w:rFonts w:ascii="Aptos" w:eastAsia="Times New Roman" w:hAnsi="Aptos" w:cs="Arial"/>
          <w:color w:val="002060"/>
        </w:rPr>
        <w:t xml:space="preserve"> million or less annually will not be subject to personal income tax. This means that around 2.3 million household businesses shall not be subject to revenue tax.</w:t>
      </w:r>
    </w:p>
    <w:p w14:paraId="71572895" w14:textId="77777777" w:rsidR="00175697" w:rsidRPr="00175697" w:rsidRDefault="00175697" w:rsidP="00175697">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 xml:space="preserve">The amended law raises the family circumstance-based deduction to </w:t>
      </w:r>
      <w:proofErr w:type="spellStart"/>
      <w:r w:rsidRPr="00175697">
        <w:rPr>
          <w:rFonts w:ascii="Aptos" w:eastAsia="Times New Roman" w:hAnsi="Aptos" w:cs="Arial"/>
          <w:color w:val="002060"/>
        </w:rPr>
        <w:t>VND15.5</w:t>
      </w:r>
      <w:proofErr w:type="spellEnd"/>
      <w:r w:rsidRPr="00175697">
        <w:rPr>
          <w:rFonts w:ascii="Aptos" w:eastAsia="Times New Roman" w:hAnsi="Aptos" w:cs="Arial"/>
          <w:color w:val="002060"/>
        </w:rPr>
        <w:t xml:space="preserve"> million (about $588) per month (from the current </w:t>
      </w:r>
      <w:proofErr w:type="spellStart"/>
      <w:r w:rsidRPr="00175697">
        <w:rPr>
          <w:rFonts w:ascii="Aptos" w:eastAsia="Times New Roman" w:hAnsi="Aptos" w:cs="Arial"/>
          <w:color w:val="002060"/>
        </w:rPr>
        <w:t>VND11</w:t>
      </w:r>
      <w:proofErr w:type="spellEnd"/>
      <w:r w:rsidRPr="00175697">
        <w:rPr>
          <w:rFonts w:ascii="Aptos" w:eastAsia="Times New Roman" w:hAnsi="Aptos" w:cs="Arial"/>
          <w:color w:val="002060"/>
        </w:rPr>
        <w:t xml:space="preserve"> million) for each taxpayer, while the deduction for each dependent increases to </w:t>
      </w:r>
      <w:proofErr w:type="spellStart"/>
      <w:r w:rsidRPr="00175697">
        <w:rPr>
          <w:rFonts w:ascii="Aptos" w:eastAsia="Times New Roman" w:hAnsi="Aptos" w:cs="Arial"/>
          <w:color w:val="002060"/>
        </w:rPr>
        <w:t>VND6.2</w:t>
      </w:r>
      <w:proofErr w:type="spellEnd"/>
      <w:r w:rsidRPr="00175697">
        <w:rPr>
          <w:rFonts w:ascii="Aptos" w:eastAsia="Times New Roman" w:hAnsi="Aptos" w:cs="Arial"/>
          <w:color w:val="002060"/>
        </w:rPr>
        <w:t xml:space="preserve"> million from the current </w:t>
      </w:r>
      <w:proofErr w:type="spellStart"/>
      <w:r w:rsidRPr="00175697">
        <w:rPr>
          <w:rFonts w:ascii="Aptos" w:eastAsia="Times New Roman" w:hAnsi="Aptos" w:cs="Arial"/>
          <w:color w:val="002060"/>
        </w:rPr>
        <w:t>VND4.4</w:t>
      </w:r>
      <w:proofErr w:type="spellEnd"/>
      <w:r w:rsidRPr="00175697">
        <w:rPr>
          <w:rFonts w:ascii="Aptos" w:eastAsia="Times New Roman" w:hAnsi="Aptos" w:cs="Arial"/>
          <w:color w:val="002060"/>
        </w:rPr>
        <w:t xml:space="preserve"> million per month.</w:t>
      </w:r>
    </w:p>
    <w:p w14:paraId="37BCBEF6" w14:textId="77777777" w:rsidR="00175697" w:rsidRPr="00175697" w:rsidRDefault="00175697" w:rsidP="00175697">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The law is scheduled to take effect on July 1, 2026. However, to allow people to benefit sooner from higher deductions and lower tax rates, provisions related to income from wages, salaries, and business activities will be applied earlier, from January 1, 2026.</w:t>
      </w:r>
    </w:p>
    <w:p w14:paraId="5EF6AD52" w14:textId="77777777" w:rsidR="00175697" w:rsidRPr="00175697" w:rsidRDefault="00175697" w:rsidP="00175697">
      <w:pPr>
        <w:shd w:val="clear" w:color="auto" w:fill="FFFFFF"/>
        <w:spacing w:before="100" w:beforeAutospacing="1" w:after="100" w:afterAutospacing="1" w:line="288" w:lineRule="auto"/>
        <w:jc w:val="both"/>
        <w:rPr>
          <w:rFonts w:ascii="Aptos" w:eastAsia="Times New Roman" w:hAnsi="Aptos" w:cs="Arial"/>
          <w:color w:val="002060"/>
        </w:rPr>
      </w:pPr>
      <w:r w:rsidRPr="00175697">
        <w:rPr>
          <w:rFonts w:ascii="Aptos" w:eastAsia="Times New Roman" w:hAnsi="Aptos" w:cs="Arial"/>
          <w:color w:val="002060"/>
        </w:rPr>
        <w:t>The progressive tax schedule for income from salaries and wages has been streamlined from current seven brackets to five. The top statutory rate remains at 35 percent, but the income threshold for this top bracket is raised to monthly income above VND 100 million (up from the current VND 80 million).</w:t>
      </w:r>
    </w:p>
    <w:p w14:paraId="163189D8" w14:textId="77777777" w:rsidR="005A2095" w:rsidRPr="00175697" w:rsidRDefault="005A2095" w:rsidP="00175697">
      <w:pPr>
        <w:spacing w:line="288" w:lineRule="auto"/>
        <w:jc w:val="both"/>
        <w:rPr>
          <w:rStyle w:val="Hyperlink"/>
          <w:rFonts w:ascii="Aptos" w:eastAsia="Malgun Gothic" w:hAnsi="Aptos" w:cs="Times New Roman"/>
          <w:color w:val="002060"/>
        </w:rPr>
      </w:pPr>
    </w:p>
    <w:p w14:paraId="41E48BB6" w14:textId="77777777" w:rsidR="00687F12" w:rsidRPr="004C6CBE" w:rsidRDefault="00FA642B" w:rsidP="00687F12">
      <w:pPr>
        <w:spacing w:line="288" w:lineRule="auto"/>
        <w:jc w:val="right"/>
        <w:rPr>
          <w:rStyle w:val="Hyperlink"/>
          <w:rFonts w:ascii="Aptos" w:eastAsia="Malgun Gothic" w:hAnsi="Aptos" w:cs="Times New Roman"/>
          <w:color w:val="002060"/>
        </w:rPr>
      </w:pPr>
      <w:hyperlink w:anchor="_top" w:history="1">
        <w:r w:rsidR="00687F12" w:rsidRPr="004C6CBE">
          <w:rPr>
            <w:rStyle w:val="Hyperlink"/>
            <w:rFonts w:ascii="Aptos" w:eastAsia="Malgun Gothic" w:hAnsi="Aptos" w:cs="Times New Roman"/>
            <w:color w:val="002060"/>
          </w:rPr>
          <w:t>Back to Top</w:t>
        </w:r>
      </w:hyperlink>
    </w:p>
    <w:bookmarkEnd w:id="0"/>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F3A88"/>
    <w:multiLevelType w:val="multilevel"/>
    <w:tmpl w:val="836C6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7EEA"/>
    <w:multiLevelType w:val="multilevel"/>
    <w:tmpl w:val="381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9F51A4F"/>
    <w:multiLevelType w:val="multilevel"/>
    <w:tmpl w:val="F1E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3308AE"/>
    <w:multiLevelType w:val="multilevel"/>
    <w:tmpl w:val="35E2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95BA9"/>
    <w:multiLevelType w:val="multilevel"/>
    <w:tmpl w:val="48263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9FD574F"/>
    <w:multiLevelType w:val="multilevel"/>
    <w:tmpl w:val="640EE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65519"/>
    <w:multiLevelType w:val="multilevel"/>
    <w:tmpl w:val="DF0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C685A"/>
    <w:multiLevelType w:val="multilevel"/>
    <w:tmpl w:val="11A08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E697C"/>
    <w:multiLevelType w:val="multilevel"/>
    <w:tmpl w:val="F0245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31"/>
  </w:num>
  <w:num w:numId="2" w16cid:durableId="1999963907">
    <w:abstractNumId w:val="19"/>
  </w:num>
  <w:num w:numId="3" w16cid:durableId="187530692">
    <w:abstractNumId w:val="9"/>
  </w:num>
  <w:num w:numId="4" w16cid:durableId="190073924">
    <w:abstractNumId w:val="14"/>
  </w:num>
  <w:num w:numId="5" w16cid:durableId="511577237">
    <w:abstractNumId w:val="28"/>
  </w:num>
  <w:num w:numId="6" w16cid:durableId="725564579">
    <w:abstractNumId w:val="34"/>
  </w:num>
  <w:num w:numId="7" w16cid:durableId="733746827">
    <w:abstractNumId w:val="6"/>
  </w:num>
  <w:num w:numId="8" w16cid:durableId="1770421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398721">
    <w:abstractNumId w:val="3"/>
  </w:num>
  <w:num w:numId="10" w16cid:durableId="377437584">
    <w:abstractNumId w:val="27"/>
  </w:num>
  <w:num w:numId="11" w16cid:durableId="4142082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446636">
    <w:abstractNumId w:val="36"/>
  </w:num>
  <w:num w:numId="13" w16cid:durableId="87389667">
    <w:abstractNumId w:val="10"/>
  </w:num>
  <w:num w:numId="14" w16cid:durableId="1542547771">
    <w:abstractNumId w:val="17"/>
  </w:num>
  <w:num w:numId="15" w16cid:durableId="1406226092">
    <w:abstractNumId w:val="13"/>
  </w:num>
  <w:num w:numId="16" w16cid:durableId="330765465">
    <w:abstractNumId w:val="25"/>
  </w:num>
  <w:num w:numId="17" w16cid:durableId="513032599">
    <w:abstractNumId w:val="18"/>
  </w:num>
  <w:num w:numId="18" w16cid:durableId="580674743">
    <w:abstractNumId w:val="5"/>
  </w:num>
  <w:num w:numId="19" w16cid:durableId="7028894">
    <w:abstractNumId w:val="20"/>
  </w:num>
  <w:num w:numId="20" w16cid:durableId="1571766872">
    <w:abstractNumId w:val="22"/>
  </w:num>
  <w:num w:numId="21" w16cid:durableId="1156652552">
    <w:abstractNumId w:val="35"/>
  </w:num>
  <w:num w:numId="22" w16cid:durableId="2079547021">
    <w:abstractNumId w:val="23"/>
  </w:num>
  <w:num w:numId="23" w16cid:durableId="995181791">
    <w:abstractNumId w:val="1"/>
  </w:num>
  <w:num w:numId="24" w16cid:durableId="690574365">
    <w:abstractNumId w:val="4"/>
  </w:num>
  <w:num w:numId="25" w16cid:durableId="365448403">
    <w:abstractNumId w:val="38"/>
  </w:num>
  <w:num w:numId="26" w16cid:durableId="1645700965">
    <w:abstractNumId w:val="0"/>
  </w:num>
  <w:num w:numId="27" w16cid:durableId="1239635132">
    <w:abstractNumId w:val="12"/>
  </w:num>
  <w:num w:numId="28" w16cid:durableId="2071877995">
    <w:abstractNumId w:val="8"/>
  </w:num>
  <w:num w:numId="29" w16cid:durableId="1837070287">
    <w:abstractNumId w:val="32"/>
  </w:num>
  <w:num w:numId="30" w16cid:durableId="1249267205">
    <w:abstractNumId w:val="26"/>
  </w:num>
  <w:num w:numId="31" w16cid:durableId="280264238">
    <w:abstractNumId w:val="37"/>
  </w:num>
  <w:num w:numId="32" w16cid:durableId="1060055379">
    <w:abstractNumId w:val="2"/>
  </w:num>
  <w:num w:numId="33" w16cid:durableId="194583446">
    <w:abstractNumId w:val="11"/>
  </w:num>
  <w:num w:numId="34" w16cid:durableId="737480734">
    <w:abstractNumId w:val="21"/>
  </w:num>
  <w:num w:numId="35" w16cid:durableId="2116829155">
    <w:abstractNumId w:val="39"/>
  </w:num>
  <w:num w:numId="36" w16cid:durableId="1393384543">
    <w:abstractNumId w:val="40"/>
  </w:num>
  <w:num w:numId="37" w16cid:durableId="949701760">
    <w:abstractNumId w:val="33"/>
  </w:num>
  <w:num w:numId="38" w16cid:durableId="910314149">
    <w:abstractNumId w:val="24"/>
  </w:num>
  <w:num w:numId="39" w16cid:durableId="1509559146">
    <w:abstractNumId w:val="7"/>
  </w:num>
  <w:num w:numId="40" w16cid:durableId="956988393">
    <w:abstractNumId w:val="30"/>
  </w:num>
  <w:num w:numId="41" w16cid:durableId="145655641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5E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161717"/>
    <w:pPr>
      <w:spacing w:before="360" w:after="36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oitrenews.vn/society" TargetMode="External"/><Relationship Id="rId13" Type="http://schemas.openxmlformats.org/officeDocument/2006/relationships/hyperlink" Target="https://www.reuters.com/sustainability/climate-energy/japan-warns-vietnam-job-losses-hanoi-motorbike-ban-hits-honda-2025-1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uters.com/sustainability/climate-energy/vietnam-retroactively-cuts-subsidies-some-solar-wind-farms-investors-letter-says-2025-05-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business/energy/vietnams-lng-price-cap-puts-gas-fired-power-target-risk-2024-08-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uters.com/business/energy/vietnam-says-boost-power-capacity-136-bln-plan-2025-04-17/" TargetMode="External"/><Relationship Id="rId4" Type="http://schemas.openxmlformats.org/officeDocument/2006/relationships/settings" Target="settings.xml"/><Relationship Id="rId9" Type="http://schemas.openxmlformats.org/officeDocument/2006/relationships/hyperlink" Target="https://www.reuters.com/markets/asia/vietnams-power-blackouts-hit-multinationals-manufacturing-hubs-2023-06-05/" TargetMode="External"/><Relationship Id="rId14" Type="http://schemas.openxmlformats.org/officeDocument/2006/relationships/hyperlink" Target="https://www.reuters.com/markets/companies/7267.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7413</Words>
  <Characters>42256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49570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2025-12-11T06:24:00Z</dcterms:created>
  <dcterms:modified xsi:type="dcterms:W3CDTF">2025-12-11T08:24:00Z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