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3428D"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2F2B6469" w:rsidR="00C11842" w:rsidRDefault="003C4CF1"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p>
    <w:p w14:paraId="211A39D6" w14:textId="77777777" w:rsidR="00850D96" w:rsidRPr="003F3533" w:rsidRDefault="00850D96" w:rsidP="00C11842">
      <w:pPr>
        <w:spacing w:before="100" w:beforeAutospacing="1" w:after="100" w:afterAutospacing="1" w:line="240" w:lineRule="auto"/>
        <w:rPr>
          <w:rFonts w:ascii="Aptos" w:eastAsia="Malgun Gothic" w:hAnsi="Aptos" w:cs="Times New Roman"/>
          <w:color w:val="002060"/>
          <w:sz w:val="24"/>
          <w:szCs w:val="24"/>
          <w:lang w:eastAsia="zh-CN"/>
        </w:rPr>
      </w:pPr>
    </w:p>
    <w:p w14:paraId="527B21FF" w14:textId="1E75CBFB" w:rsidR="005B499F" w:rsidRPr="003F3533" w:rsidRDefault="005B499F" w:rsidP="005B499F">
      <w:pPr>
        <w:shd w:val="clear" w:color="auto" w:fill="FFFFFF"/>
        <w:spacing w:line="215" w:lineRule="atLeast"/>
        <w:jc w:val="center"/>
        <w:rPr>
          <w:rFonts w:ascii="Aptos" w:eastAsia="Times New Roman" w:hAnsi="Aptos" w:cs="Arial"/>
          <w:b/>
          <w:bCs/>
          <w:color w:val="002060"/>
          <w:sz w:val="40"/>
          <w:szCs w:val="40"/>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3F3533">
        <w:rPr>
          <w:rFonts w:ascii="Aptos" w:eastAsia="Times New Roman" w:hAnsi="Aptos" w:cs="Arial"/>
          <w:b/>
          <w:bCs/>
          <w:color w:val="002060"/>
          <w:sz w:val="40"/>
          <w:szCs w:val="40"/>
          <w:lang w:val="en-GB" w:eastAsia="en-GB"/>
        </w:rPr>
        <w:t>Dear Friends, Colleagues and Partners,</w:t>
      </w:r>
    </w:p>
    <w:p w14:paraId="420CEDFC" w14:textId="77777777" w:rsidR="005B499F" w:rsidRPr="003F3533" w:rsidRDefault="005B499F" w:rsidP="005B499F">
      <w:pPr>
        <w:shd w:val="clear" w:color="auto" w:fill="FFFFFF"/>
        <w:spacing w:after="0" w:line="215" w:lineRule="atLeast"/>
        <w:jc w:val="center"/>
        <w:rPr>
          <w:rFonts w:ascii="Aptos" w:eastAsia="Times New Roman" w:hAnsi="Aptos" w:cs="Arial"/>
          <w:color w:val="943634" w:themeColor="accent2" w:themeShade="BF"/>
          <w:sz w:val="40"/>
          <w:szCs w:val="40"/>
          <w:lang w:val="en-GB" w:eastAsia="en-GB"/>
        </w:rPr>
      </w:pPr>
      <w:r w:rsidRPr="003F3533">
        <w:rPr>
          <w:rFonts w:ascii="Aptos" w:eastAsia="Times New Roman" w:hAnsi="Aptos" w:cs="Arial"/>
          <w:b/>
          <w:bCs/>
          <w:color w:val="943634" w:themeColor="accent2" w:themeShade="BF"/>
          <w:sz w:val="40"/>
          <w:szCs w:val="40"/>
          <w:lang w:val="en-GB" w:eastAsia="en-GB"/>
        </w:rPr>
        <w:t>May peace, happiness and prosperity</w:t>
      </w:r>
    </w:p>
    <w:p w14:paraId="0512B232" w14:textId="77777777" w:rsidR="005B499F" w:rsidRPr="003F3533" w:rsidRDefault="005B499F" w:rsidP="005B499F">
      <w:pPr>
        <w:shd w:val="clear" w:color="auto" w:fill="FFFFFF"/>
        <w:spacing w:after="0" w:line="215" w:lineRule="atLeast"/>
        <w:jc w:val="center"/>
        <w:rPr>
          <w:rFonts w:ascii="Aptos" w:eastAsia="Times New Roman" w:hAnsi="Aptos" w:cs="Arial"/>
          <w:color w:val="943634" w:themeColor="accent2" w:themeShade="BF"/>
          <w:sz w:val="40"/>
          <w:szCs w:val="40"/>
          <w:lang w:val="en-GB" w:eastAsia="en-GB"/>
        </w:rPr>
      </w:pPr>
      <w:r w:rsidRPr="003F3533">
        <w:rPr>
          <w:rFonts w:ascii="Aptos" w:eastAsia="Times New Roman" w:hAnsi="Aptos" w:cs="Arial"/>
          <w:b/>
          <w:bCs/>
          <w:color w:val="943634" w:themeColor="accent2" w:themeShade="BF"/>
          <w:sz w:val="40"/>
          <w:szCs w:val="40"/>
          <w:lang w:val="en-GB" w:eastAsia="en-GB"/>
        </w:rPr>
        <w:t>be yours during this Holiday Season</w:t>
      </w:r>
    </w:p>
    <w:p w14:paraId="394ACCE1" w14:textId="77777777" w:rsidR="005B499F" w:rsidRPr="003F3533" w:rsidRDefault="005B499F" w:rsidP="005B499F">
      <w:pPr>
        <w:shd w:val="clear" w:color="auto" w:fill="FFFFFF"/>
        <w:spacing w:after="0" w:line="215" w:lineRule="atLeast"/>
        <w:jc w:val="center"/>
        <w:rPr>
          <w:rFonts w:ascii="Aptos" w:eastAsia="Times New Roman" w:hAnsi="Aptos" w:cs="Arial"/>
          <w:b/>
          <w:bCs/>
          <w:color w:val="943634" w:themeColor="accent2" w:themeShade="BF"/>
          <w:sz w:val="40"/>
          <w:szCs w:val="40"/>
          <w:lang w:val="en-GB" w:eastAsia="en-GB"/>
        </w:rPr>
      </w:pPr>
      <w:r w:rsidRPr="003F3533">
        <w:rPr>
          <w:rFonts w:ascii="Aptos" w:eastAsia="Times New Roman" w:hAnsi="Aptos" w:cs="Arial"/>
          <w:b/>
          <w:bCs/>
          <w:color w:val="943634" w:themeColor="accent2" w:themeShade="BF"/>
          <w:sz w:val="40"/>
          <w:szCs w:val="40"/>
          <w:lang w:val="en-GB" w:eastAsia="en-GB"/>
        </w:rPr>
        <w:t>and throughout the New Year!</w:t>
      </w:r>
    </w:p>
    <w:p w14:paraId="05A2ADBB" w14:textId="77777777" w:rsidR="005B499F" w:rsidRPr="003F3533" w:rsidRDefault="005B499F" w:rsidP="005B499F">
      <w:pPr>
        <w:shd w:val="clear" w:color="auto" w:fill="FFFFFF"/>
        <w:spacing w:after="0" w:line="215" w:lineRule="atLeast"/>
        <w:jc w:val="center"/>
        <w:rPr>
          <w:rFonts w:ascii="Aptos" w:eastAsia="Times New Roman" w:hAnsi="Aptos" w:cs="Arial"/>
          <w:color w:val="222222"/>
          <w:sz w:val="40"/>
          <w:szCs w:val="40"/>
          <w:lang w:val="en-GB" w:eastAsia="en-GB"/>
        </w:rPr>
      </w:pPr>
    </w:p>
    <w:p w14:paraId="4CEF982E" w14:textId="71D2C254" w:rsidR="005B499F" w:rsidRPr="003F3533" w:rsidRDefault="005B499F" w:rsidP="005B499F">
      <w:pPr>
        <w:shd w:val="clear" w:color="auto" w:fill="FFFFFF"/>
        <w:spacing w:after="0" w:line="215" w:lineRule="atLeast"/>
        <w:jc w:val="center"/>
        <w:rPr>
          <w:rFonts w:ascii="Aptos" w:eastAsia="Times New Roman" w:hAnsi="Aptos" w:cs="Arial"/>
          <w:color w:val="002060"/>
          <w:sz w:val="40"/>
          <w:szCs w:val="40"/>
          <w:lang w:val="en-GB" w:eastAsia="en-GB"/>
        </w:rPr>
      </w:pPr>
      <w:r w:rsidRPr="003F3533">
        <w:rPr>
          <w:rFonts w:ascii="Aptos" w:eastAsia="Times New Roman" w:hAnsi="Aptos" w:cs="Arial"/>
          <w:b/>
          <w:bCs/>
          <w:color w:val="002060"/>
          <w:sz w:val="40"/>
          <w:szCs w:val="40"/>
          <w:lang w:val="en-GB" w:eastAsia="en-GB"/>
        </w:rPr>
        <w:t>Merry Christmas and Happy New Year 2026!</w:t>
      </w:r>
    </w:p>
    <w:p w14:paraId="1EADEDDC" w14:textId="77777777" w:rsidR="005B499F" w:rsidRPr="003F3533" w:rsidRDefault="005B499F" w:rsidP="005B499F">
      <w:pPr>
        <w:spacing w:before="100" w:beforeAutospacing="1" w:after="100" w:afterAutospacing="1" w:line="240" w:lineRule="auto"/>
        <w:rPr>
          <w:rFonts w:ascii="Aptos" w:hAnsi="Aptos" w:cs="Times New Roman"/>
          <w:color w:val="002060"/>
          <w:sz w:val="24"/>
          <w:szCs w:val="24"/>
          <w:lang w:eastAsia="zh-CN"/>
        </w:rPr>
      </w:pPr>
      <w:r w:rsidRPr="003F3533">
        <w:rPr>
          <w:rFonts w:ascii="Aptos" w:hAnsi="Aptos"/>
          <w:noProof/>
        </w:rPr>
        <mc:AlternateContent>
          <mc:Choice Requires="wps">
            <w:drawing>
              <wp:inline distT="0" distB="0" distL="0" distR="0" wp14:anchorId="118ADFE6" wp14:editId="17BC3F44">
                <wp:extent cx="304800" cy="304800"/>
                <wp:effectExtent l="0" t="0" r="0" b="0"/>
                <wp:docPr id="119125842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D7EA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7534A7" w14:textId="77777777" w:rsidR="002E192D" w:rsidRPr="004C6CBE" w:rsidRDefault="00487AED" w:rsidP="002E192D">
      <w:pPr>
        <w:shd w:val="clear" w:color="auto" w:fill="FFFFFF"/>
        <w:spacing w:after="0" w:line="240" w:lineRule="auto"/>
        <w:rPr>
          <w:rFonts w:ascii="Aptos" w:eastAsia="Malgun Gothic" w:hAnsi="Aptos" w:cs="Arial"/>
          <w:color w:val="002060"/>
          <w:sz w:val="24"/>
          <w:szCs w:val="24"/>
          <w:lang w:val="en-GB" w:eastAsia="en-GB"/>
        </w:rPr>
      </w:pPr>
      <w:r w:rsidRPr="004C6CBE">
        <w:rPr>
          <w:rFonts w:ascii="Aptos" w:eastAsia="Malgun Gothic" w:hAnsi="Aptos"/>
          <w:lang w:val="en-GB"/>
        </w:rPr>
        <w:br/>
      </w:r>
    </w:p>
    <w:p w14:paraId="0446F084" w14:textId="4466A56C" w:rsidR="0061575D" w:rsidRPr="004C6CBE" w:rsidRDefault="0061575D" w:rsidP="0061575D">
      <w:pPr>
        <w:rPr>
          <w:rFonts w:ascii="Aptos" w:eastAsia="Malgun Gothic" w:hAnsi="Aptos" w:cs="Arial"/>
          <w:color w:val="002060"/>
          <w:lang w:val="en-GB" w:eastAsia="en-GB"/>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Pr="004C6CBE" w:rsidRDefault="004D1540" w:rsidP="005D5A13">
      <w:pPr>
        <w:rPr>
          <w:rFonts w:ascii="Aptos" w:eastAsia="Malgun Gothic" w:hAnsi="Aptos"/>
        </w:rPr>
      </w:pPr>
    </w:p>
    <w:p w14:paraId="7AEF6564" w14:textId="3B5A35BD" w:rsidR="00A35602" w:rsidRDefault="009119D4" w:rsidP="003F3533">
      <w:pPr>
        <w:pStyle w:val="TOC1"/>
        <w:rPr>
          <w:rStyle w:val="Hyperlink"/>
          <w:color w:val="0070C0"/>
          <w:sz w:val="28"/>
        </w:rPr>
      </w:pPr>
      <w:r w:rsidRPr="00387A0B">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15032AE1" w14:textId="77777777" w:rsidR="003F3533" w:rsidRPr="003F3533" w:rsidRDefault="003F3533" w:rsidP="003F3533"/>
    <w:p w14:paraId="1C0D6A6F" w14:textId="01803094" w:rsidR="003F3533" w:rsidRPr="003F3533" w:rsidRDefault="003F3533" w:rsidP="003F3533">
      <w:pPr>
        <w:pStyle w:val="TOC1"/>
        <w:rPr>
          <w:rStyle w:val="Hyperlink"/>
          <w:color w:val="0070C0"/>
        </w:rPr>
      </w:pPr>
      <w:r w:rsidRPr="003F3533">
        <w:rPr>
          <w:rStyle w:val="Hyperlink"/>
          <w:color w:val="0070C0"/>
          <w:sz w:val="22"/>
          <w:szCs w:val="18"/>
        </w:rPr>
        <w:fldChar w:fldCharType="begin"/>
      </w:r>
      <w:r w:rsidRPr="003F3533">
        <w:rPr>
          <w:rStyle w:val="Hyperlink"/>
          <w:color w:val="0070C0"/>
          <w:sz w:val="22"/>
          <w:szCs w:val="18"/>
        </w:rPr>
        <w:instrText xml:space="preserve"> TOC \o "1-3" \n \h \z \u </w:instrText>
      </w:r>
      <w:r w:rsidRPr="003F3533">
        <w:rPr>
          <w:rStyle w:val="Hyperlink"/>
          <w:color w:val="0070C0"/>
          <w:sz w:val="22"/>
          <w:szCs w:val="18"/>
        </w:rPr>
        <w:fldChar w:fldCharType="separate"/>
      </w:r>
      <w:hyperlink w:anchor="_Toc216965790" w:history="1">
        <w:r w:rsidRPr="003F3533">
          <w:rPr>
            <w:rStyle w:val="Hyperlink"/>
            <w:color w:val="0070C0"/>
          </w:rPr>
          <w:t>TOP NEWS</w:t>
        </w:r>
      </w:hyperlink>
    </w:p>
    <w:p w14:paraId="49B8D8EC" w14:textId="44185663" w:rsidR="003F3533" w:rsidRPr="003F3533" w:rsidRDefault="003F3533" w:rsidP="003F3533">
      <w:pPr>
        <w:pStyle w:val="TOC1"/>
        <w:rPr>
          <w:rStyle w:val="Hyperlink"/>
          <w:color w:val="0070C0"/>
          <w:sz w:val="22"/>
          <w:szCs w:val="18"/>
        </w:rPr>
      </w:pPr>
      <w:hyperlink w:anchor="_Toc216965791" w:history="1">
        <w:r w:rsidRPr="003F3533">
          <w:rPr>
            <w:rStyle w:val="Hyperlink"/>
            <w:color w:val="0070C0"/>
            <w:sz w:val="22"/>
            <w:szCs w:val="18"/>
          </w:rPr>
          <w:t>VIETNAM - THE NEW INVESTMENT LAW 2026 - WHAT YOU MUST KNOW</w:t>
        </w:r>
      </w:hyperlink>
    </w:p>
    <w:p w14:paraId="5366C334" w14:textId="2A368951" w:rsidR="003F3533" w:rsidRPr="003F3533" w:rsidRDefault="003F3533" w:rsidP="003F3533">
      <w:pPr>
        <w:pStyle w:val="TOC1"/>
        <w:rPr>
          <w:rStyle w:val="Hyperlink"/>
          <w:color w:val="0070C0"/>
        </w:rPr>
      </w:pPr>
      <w:hyperlink w:anchor="_Toc216965792" w:history="1">
        <w:r w:rsidRPr="003F3533">
          <w:rPr>
            <w:rStyle w:val="Hyperlink"/>
            <w:color w:val="0070C0"/>
          </w:rPr>
          <w:t>FINANCE</w:t>
        </w:r>
      </w:hyperlink>
    </w:p>
    <w:p w14:paraId="285B8A31" w14:textId="456516C2" w:rsidR="003F3533" w:rsidRPr="003F3533" w:rsidRDefault="003F3533" w:rsidP="003F3533">
      <w:pPr>
        <w:pStyle w:val="TOC1"/>
        <w:rPr>
          <w:rStyle w:val="Hyperlink"/>
          <w:color w:val="0070C0"/>
          <w:sz w:val="22"/>
          <w:szCs w:val="18"/>
        </w:rPr>
      </w:pPr>
      <w:hyperlink w:anchor="_Toc216965793" w:history="1">
        <w:r w:rsidRPr="003F3533">
          <w:rPr>
            <w:rStyle w:val="Hyperlink"/>
            <w:color w:val="0070C0"/>
            <w:sz w:val="22"/>
            <w:szCs w:val="18"/>
          </w:rPr>
          <w:t>Corporate bond issuances reach $17.5 bln in 11M</w:t>
        </w:r>
      </w:hyperlink>
    </w:p>
    <w:p w14:paraId="2A9C9699" w14:textId="1FDA6D0C" w:rsidR="003F3533" w:rsidRPr="003F3533" w:rsidRDefault="003F3533" w:rsidP="003F3533">
      <w:pPr>
        <w:pStyle w:val="TOC1"/>
        <w:rPr>
          <w:rStyle w:val="Hyperlink"/>
          <w:color w:val="0070C0"/>
          <w:sz w:val="22"/>
          <w:szCs w:val="18"/>
        </w:rPr>
      </w:pPr>
      <w:hyperlink w:anchor="_Toc216965795" w:history="1">
        <w:r w:rsidRPr="003F3533">
          <w:rPr>
            <w:rStyle w:val="Hyperlink"/>
            <w:color w:val="0070C0"/>
            <w:sz w:val="22"/>
            <w:szCs w:val="18"/>
          </w:rPr>
          <w:t>$19bln credit program launched in support of power, transport and technology projects</w:t>
        </w:r>
      </w:hyperlink>
    </w:p>
    <w:p w14:paraId="3DEEED95" w14:textId="18793F4E" w:rsidR="003F3533" w:rsidRPr="003F3533" w:rsidRDefault="003F3533" w:rsidP="003F3533">
      <w:pPr>
        <w:pStyle w:val="TOC1"/>
        <w:rPr>
          <w:rStyle w:val="Hyperlink"/>
          <w:color w:val="0070C0"/>
        </w:rPr>
      </w:pPr>
      <w:hyperlink w:anchor="_Toc216965797" w:history="1">
        <w:r w:rsidRPr="003F3533">
          <w:rPr>
            <w:rStyle w:val="Hyperlink"/>
            <w:color w:val="0070C0"/>
          </w:rPr>
          <w:t>ECONOMY</w:t>
        </w:r>
      </w:hyperlink>
    </w:p>
    <w:p w14:paraId="121D4612" w14:textId="4D586C45" w:rsidR="003F3533" w:rsidRPr="003F3533" w:rsidRDefault="003F3533" w:rsidP="003F3533">
      <w:pPr>
        <w:pStyle w:val="TOC1"/>
        <w:rPr>
          <w:rStyle w:val="Hyperlink"/>
          <w:color w:val="0070C0"/>
          <w:sz w:val="22"/>
          <w:szCs w:val="18"/>
        </w:rPr>
      </w:pPr>
      <w:hyperlink w:anchor="_Toc216965798" w:history="1">
        <w:r w:rsidRPr="003F3533">
          <w:rPr>
            <w:rStyle w:val="Hyperlink"/>
            <w:color w:val="0070C0"/>
            <w:sz w:val="22"/>
            <w:szCs w:val="18"/>
          </w:rPr>
          <w:t>PM directs tasks to boost economic growth</w:t>
        </w:r>
      </w:hyperlink>
    </w:p>
    <w:p w14:paraId="0815EB52" w14:textId="790A5BC7" w:rsidR="003F3533" w:rsidRPr="003F3533" w:rsidRDefault="003F3533" w:rsidP="003F3533">
      <w:pPr>
        <w:pStyle w:val="TOC1"/>
        <w:rPr>
          <w:rStyle w:val="Hyperlink"/>
          <w:color w:val="0070C0"/>
          <w:sz w:val="22"/>
          <w:szCs w:val="18"/>
        </w:rPr>
      </w:pPr>
      <w:hyperlink w:anchor="_Toc216965799" w:history="1">
        <w:r w:rsidRPr="003F3533">
          <w:rPr>
            <w:rStyle w:val="Hyperlink"/>
            <w:color w:val="0070C0"/>
            <w:sz w:val="22"/>
            <w:szCs w:val="18"/>
          </w:rPr>
          <w:t>Vietnam defies US tariffs with robust export growth in 2025</w:t>
        </w:r>
      </w:hyperlink>
    </w:p>
    <w:p w14:paraId="7D3EEEBC" w14:textId="60A435A6" w:rsidR="003F3533" w:rsidRPr="003F3533" w:rsidRDefault="003F3533" w:rsidP="003F3533">
      <w:pPr>
        <w:pStyle w:val="TOC1"/>
        <w:rPr>
          <w:rStyle w:val="Hyperlink"/>
          <w:color w:val="0070C0"/>
        </w:rPr>
      </w:pPr>
      <w:hyperlink w:anchor="_Toc216965802" w:history="1">
        <w:r w:rsidRPr="003F3533">
          <w:rPr>
            <w:rStyle w:val="Hyperlink"/>
            <w:color w:val="0070C0"/>
          </w:rPr>
          <w:t>INVESTMENT</w:t>
        </w:r>
      </w:hyperlink>
    </w:p>
    <w:p w14:paraId="7259A5B8" w14:textId="3B0F4DFB" w:rsidR="003F3533" w:rsidRPr="003F3533" w:rsidRDefault="003F3533" w:rsidP="003F3533">
      <w:pPr>
        <w:pStyle w:val="TOC1"/>
        <w:rPr>
          <w:rStyle w:val="Hyperlink"/>
          <w:color w:val="0070C0"/>
          <w:sz w:val="22"/>
          <w:szCs w:val="18"/>
        </w:rPr>
      </w:pPr>
      <w:hyperlink w:anchor="_Toc216965803" w:history="1">
        <w:r w:rsidRPr="003F3533">
          <w:rPr>
            <w:rStyle w:val="Hyperlink"/>
            <w:color w:val="0070C0"/>
            <w:sz w:val="22"/>
            <w:szCs w:val="18"/>
          </w:rPr>
          <w:t>Kolon signs $48 million airbag supply deal with Autoliv</w:t>
        </w:r>
      </w:hyperlink>
    </w:p>
    <w:p w14:paraId="743774C2" w14:textId="17AD0A92" w:rsidR="003F3533" w:rsidRPr="003F3533" w:rsidRDefault="003F3533" w:rsidP="003F3533">
      <w:pPr>
        <w:pStyle w:val="TOC1"/>
        <w:rPr>
          <w:rStyle w:val="Hyperlink"/>
          <w:color w:val="0070C0"/>
          <w:sz w:val="22"/>
          <w:szCs w:val="18"/>
        </w:rPr>
      </w:pPr>
      <w:hyperlink w:anchor="_Toc216965804" w:history="1">
        <w:r w:rsidRPr="003F3533">
          <w:rPr>
            <w:rStyle w:val="Hyperlink"/>
            <w:color w:val="0070C0"/>
            <w:sz w:val="22"/>
            <w:szCs w:val="18"/>
          </w:rPr>
          <w:t>Korean firm plans to expand rare earth metal business in Vietnam</w:t>
        </w:r>
      </w:hyperlink>
    </w:p>
    <w:p w14:paraId="72C2948B" w14:textId="4A3B9586" w:rsidR="003F3533" w:rsidRPr="003F3533" w:rsidRDefault="003F3533" w:rsidP="003F3533">
      <w:pPr>
        <w:pStyle w:val="TOC1"/>
        <w:rPr>
          <w:rStyle w:val="Hyperlink"/>
          <w:color w:val="0070C0"/>
        </w:rPr>
      </w:pPr>
      <w:hyperlink w:anchor="_Toc216965806" w:history="1">
        <w:r w:rsidRPr="003F3533">
          <w:rPr>
            <w:rStyle w:val="Hyperlink"/>
            <w:color w:val="0070C0"/>
          </w:rPr>
          <w:t>PROPERTY</w:t>
        </w:r>
      </w:hyperlink>
    </w:p>
    <w:p w14:paraId="2DC9903C" w14:textId="4B1D0883" w:rsidR="003F3533" w:rsidRPr="003F3533" w:rsidRDefault="003F3533" w:rsidP="003F3533">
      <w:pPr>
        <w:pStyle w:val="TOC1"/>
        <w:rPr>
          <w:rStyle w:val="Hyperlink"/>
          <w:color w:val="0070C0"/>
          <w:sz w:val="22"/>
          <w:szCs w:val="18"/>
        </w:rPr>
      </w:pPr>
      <w:hyperlink w:anchor="_Toc216965807" w:history="1">
        <w:r w:rsidRPr="003F3533">
          <w:rPr>
            <w:rStyle w:val="Hyperlink"/>
            <w:color w:val="0070C0"/>
            <w:sz w:val="22"/>
            <w:szCs w:val="18"/>
          </w:rPr>
          <w:t>PM reviews social housing and property market progress, sets tasks for future</w:t>
        </w:r>
      </w:hyperlink>
    </w:p>
    <w:p w14:paraId="5E579A83" w14:textId="0AF17AC3" w:rsidR="003F3533" w:rsidRPr="003F3533" w:rsidRDefault="003F3533" w:rsidP="003F3533">
      <w:pPr>
        <w:pStyle w:val="TOC1"/>
        <w:rPr>
          <w:rStyle w:val="Hyperlink"/>
          <w:color w:val="0070C0"/>
          <w:sz w:val="22"/>
          <w:szCs w:val="18"/>
        </w:rPr>
      </w:pPr>
      <w:hyperlink w:anchor="_Toc216965809" w:history="1">
        <w:r w:rsidRPr="003F3533">
          <w:rPr>
            <w:rStyle w:val="Hyperlink"/>
            <w:color w:val="0070C0"/>
            <w:sz w:val="22"/>
            <w:szCs w:val="18"/>
          </w:rPr>
          <w:t>Real estate market will have clear divergence next year</w:t>
        </w:r>
      </w:hyperlink>
    </w:p>
    <w:p w14:paraId="21E9ED08" w14:textId="73A90826" w:rsidR="003F3533" w:rsidRPr="003F3533" w:rsidRDefault="003F3533" w:rsidP="003F3533">
      <w:pPr>
        <w:pStyle w:val="TOC1"/>
        <w:rPr>
          <w:rStyle w:val="Hyperlink"/>
          <w:color w:val="0070C0"/>
        </w:rPr>
      </w:pPr>
      <w:hyperlink w:anchor="_Toc216965812" w:history="1">
        <w:r w:rsidRPr="003F3533">
          <w:rPr>
            <w:rStyle w:val="Hyperlink"/>
            <w:color w:val="0070C0"/>
          </w:rPr>
          <w:t>OIL&amp;GAS&amp;ENERGY&amp;MINING</w:t>
        </w:r>
      </w:hyperlink>
    </w:p>
    <w:p w14:paraId="26371629" w14:textId="4AE00518" w:rsidR="003F3533" w:rsidRPr="003F3533" w:rsidRDefault="003F3533" w:rsidP="003F3533">
      <w:pPr>
        <w:pStyle w:val="TOC1"/>
        <w:rPr>
          <w:rStyle w:val="Hyperlink"/>
          <w:color w:val="0070C0"/>
          <w:sz w:val="22"/>
          <w:szCs w:val="18"/>
        </w:rPr>
      </w:pPr>
      <w:hyperlink w:anchor="_Toc216965813" w:history="1">
        <w:r w:rsidRPr="003F3533">
          <w:rPr>
            <w:rStyle w:val="Hyperlink"/>
            <w:color w:val="0070C0"/>
            <w:sz w:val="22"/>
            <w:szCs w:val="18"/>
          </w:rPr>
          <w:t>Quang Tri green-lights $1.59 billion LNG-fired power project</w:t>
        </w:r>
      </w:hyperlink>
    </w:p>
    <w:p w14:paraId="2A59FCF6" w14:textId="47FBC960" w:rsidR="003F3533" w:rsidRPr="003F3533" w:rsidRDefault="003F3533" w:rsidP="003F3533">
      <w:pPr>
        <w:pStyle w:val="TOC1"/>
        <w:rPr>
          <w:rStyle w:val="Hyperlink"/>
          <w:color w:val="0070C0"/>
          <w:sz w:val="22"/>
          <w:szCs w:val="18"/>
        </w:rPr>
      </w:pPr>
      <w:hyperlink w:anchor="_Toc216965814" w:history="1">
        <w:r w:rsidRPr="003F3533">
          <w:rPr>
            <w:rStyle w:val="Hyperlink"/>
            <w:color w:val="0070C0"/>
            <w:sz w:val="22"/>
            <w:szCs w:val="18"/>
          </w:rPr>
          <w:t>Schaeffler reports strong early output from Dong Nai solar project</w:t>
        </w:r>
      </w:hyperlink>
    </w:p>
    <w:p w14:paraId="594A2994" w14:textId="5B89D7FE" w:rsidR="003F3533" w:rsidRPr="003F3533" w:rsidRDefault="003F3533" w:rsidP="003F3533">
      <w:pPr>
        <w:pStyle w:val="TOC1"/>
        <w:rPr>
          <w:rStyle w:val="Hyperlink"/>
          <w:color w:val="0070C0"/>
        </w:rPr>
      </w:pPr>
      <w:hyperlink w:anchor="_Toc216965815" w:history="1">
        <w:r w:rsidRPr="003F3533">
          <w:rPr>
            <w:rStyle w:val="Hyperlink"/>
            <w:color w:val="0070C0"/>
          </w:rPr>
          <w:t>LEGAL</w:t>
        </w:r>
      </w:hyperlink>
    </w:p>
    <w:p w14:paraId="0D2A0629" w14:textId="16ED9EF6" w:rsidR="003F3533" w:rsidRPr="003F3533" w:rsidRDefault="003F3533" w:rsidP="003F3533">
      <w:pPr>
        <w:pStyle w:val="TOC1"/>
        <w:rPr>
          <w:rStyle w:val="Hyperlink"/>
          <w:color w:val="0070C0"/>
          <w:sz w:val="22"/>
          <w:szCs w:val="18"/>
        </w:rPr>
      </w:pPr>
      <w:hyperlink w:anchor="_Toc216965816" w:history="1">
        <w:r w:rsidRPr="003F3533">
          <w:rPr>
            <w:rStyle w:val="Hyperlink"/>
            <w:color w:val="0070C0"/>
            <w:sz w:val="22"/>
            <w:szCs w:val="18"/>
          </w:rPr>
          <w:t>Draft decree on administrative penalties in crypto assets completed</w:t>
        </w:r>
      </w:hyperlink>
    </w:p>
    <w:p w14:paraId="11DDCE4B" w14:textId="5AB26890" w:rsidR="003F3533" w:rsidRPr="003F3533" w:rsidRDefault="003F3533" w:rsidP="003F3533">
      <w:pPr>
        <w:pStyle w:val="TOC1"/>
        <w:rPr>
          <w:rStyle w:val="Hyperlink"/>
          <w:color w:val="0070C0"/>
          <w:sz w:val="22"/>
          <w:szCs w:val="18"/>
        </w:rPr>
      </w:pPr>
      <w:hyperlink w:anchor="_Toc216965818" w:history="1">
        <w:r w:rsidRPr="003F3533">
          <w:rPr>
            <w:rStyle w:val="Hyperlink"/>
            <w:color w:val="0070C0"/>
            <w:sz w:val="22"/>
            <w:szCs w:val="18"/>
          </w:rPr>
          <w:t>A new decree regulates the re-lending of ODA loans and foreign concessional loans</w:t>
        </w:r>
      </w:hyperlink>
    </w:p>
    <w:p w14:paraId="7B6D9D3D" w14:textId="7ADFB711" w:rsidR="003F3533" w:rsidRPr="003F3533" w:rsidRDefault="003F3533" w:rsidP="003F3533">
      <w:pPr>
        <w:pStyle w:val="TOC1"/>
        <w:rPr>
          <w:rStyle w:val="Hyperlink"/>
          <w:color w:val="0070C0"/>
          <w:sz w:val="22"/>
          <w:szCs w:val="18"/>
        </w:rPr>
      </w:pPr>
      <w:r w:rsidRPr="003F3533">
        <w:rPr>
          <w:rStyle w:val="Hyperlink"/>
          <w:color w:val="0070C0"/>
          <w:sz w:val="22"/>
          <w:szCs w:val="18"/>
        </w:rPr>
        <w:fldChar w:fldCharType="end"/>
      </w:r>
    </w:p>
    <w:p w14:paraId="4D8C7134" w14:textId="77777777" w:rsidR="0016521C" w:rsidRDefault="0016521C" w:rsidP="0016521C"/>
    <w:p w14:paraId="23923D9A" w14:textId="3A46F5BF" w:rsidR="0016521C" w:rsidRDefault="0016521C" w:rsidP="0016521C">
      <w:pPr>
        <w:pStyle w:val="Heading1"/>
        <w:shd w:val="clear" w:color="auto" w:fill="FFFFFF"/>
        <w:spacing w:before="0" w:line="288" w:lineRule="atLeast"/>
        <w:rPr>
          <w:rFonts w:ascii="Aptos" w:eastAsia="Malgun Gothic" w:hAnsi="Aptos" w:cs="Times New Roman"/>
          <w:color w:val="002060"/>
        </w:rPr>
      </w:pPr>
      <w:bookmarkStart w:id="59" w:name="_Toc216965790"/>
      <w:r>
        <w:rPr>
          <w:rFonts w:ascii="Aptos" w:eastAsia="Malgun Gothic" w:hAnsi="Aptos" w:cs="Times New Roman"/>
          <w:color w:val="002060"/>
        </w:rPr>
        <w:lastRenderedPageBreak/>
        <w:t>TOP NEWS</w:t>
      </w:r>
      <w:bookmarkEnd w:id="59"/>
    </w:p>
    <w:p w14:paraId="63223A28" w14:textId="77777777" w:rsidR="0016521C" w:rsidRDefault="0016521C" w:rsidP="0016521C">
      <w:pPr>
        <w:pStyle w:val="PlainText"/>
        <w:rPr>
          <w:rFonts w:ascii="Aptos" w:hAnsi="Aptos"/>
          <w:b/>
          <w:bCs/>
          <w:sz w:val="24"/>
          <w:szCs w:val="24"/>
        </w:rPr>
      </w:pPr>
      <w:bookmarkStart w:id="60" w:name="_Toc215144372"/>
    </w:p>
    <w:p w14:paraId="2078305F" w14:textId="77777777" w:rsidR="0016521C" w:rsidRDefault="0016521C" w:rsidP="0016521C">
      <w:pPr>
        <w:pStyle w:val="PlainText"/>
        <w:rPr>
          <w:rFonts w:ascii="Aptos" w:hAnsi="Aptos"/>
          <w:b/>
          <w:bCs/>
          <w:sz w:val="24"/>
          <w:szCs w:val="24"/>
        </w:rPr>
      </w:pPr>
    </w:p>
    <w:p w14:paraId="1CC239A5" w14:textId="331DFCCE" w:rsidR="0016521C" w:rsidRDefault="0016521C" w:rsidP="003F3533">
      <w:pPr>
        <w:pStyle w:val="PlainText"/>
        <w:outlineLvl w:val="1"/>
        <w:rPr>
          <w:rFonts w:ascii="Aptos" w:hAnsi="Aptos"/>
          <w:b/>
          <w:bCs/>
          <w:color w:val="002060"/>
          <w:sz w:val="24"/>
          <w:szCs w:val="24"/>
        </w:rPr>
      </w:pPr>
      <w:bookmarkStart w:id="61" w:name="_Toc216965791"/>
      <w:r w:rsidRPr="0016521C">
        <w:rPr>
          <w:rFonts w:ascii="Aptos" w:hAnsi="Aptos"/>
          <w:b/>
          <w:bCs/>
          <w:color w:val="002060"/>
          <w:sz w:val="24"/>
          <w:szCs w:val="24"/>
        </w:rPr>
        <w:t>VIETNAM - THE NEW INVESTMENT LAW 2026 - WHAT YOU MUST KNOW</w:t>
      </w:r>
      <w:bookmarkEnd w:id="61"/>
    </w:p>
    <w:p w14:paraId="18E1CAB7" w14:textId="537F7D97" w:rsidR="0016521C" w:rsidRPr="0016521C" w:rsidRDefault="0016521C" w:rsidP="0016521C">
      <w:pPr>
        <w:pStyle w:val="PlainText"/>
        <w:rPr>
          <w:rFonts w:ascii="Aptos" w:hAnsi="Aptos"/>
          <w:i/>
          <w:iCs/>
          <w:color w:val="002060"/>
          <w:sz w:val="18"/>
          <w:szCs w:val="18"/>
        </w:rPr>
      </w:pPr>
      <w:r w:rsidRPr="0016521C">
        <w:rPr>
          <w:rFonts w:ascii="Aptos" w:hAnsi="Aptos"/>
          <w:i/>
          <w:iCs/>
          <w:color w:val="002060"/>
          <w:sz w:val="18"/>
          <w:szCs w:val="18"/>
        </w:rPr>
        <w:t>Dr. Oliver Massmann, Duane Morris Vietnam LLC</w:t>
      </w:r>
    </w:p>
    <w:p w14:paraId="622A3080" w14:textId="77777777" w:rsidR="0016521C" w:rsidRPr="0016521C" w:rsidRDefault="0016521C" w:rsidP="0016521C">
      <w:pPr>
        <w:pStyle w:val="PlainText"/>
        <w:jc w:val="center"/>
        <w:rPr>
          <w:rFonts w:ascii="Aptos" w:hAnsi="Aptos"/>
          <w:b/>
          <w:bCs/>
          <w:color w:val="002060"/>
          <w:sz w:val="24"/>
          <w:szCs w:val="24"/>
        </w:rPr>
      </w:pPr>
    </w:p>
    <w:p w14:paraId="07939C3C" w14:textId="77777777" w:rsidR="0016521C" w:rsidRPr="0016521C" w:rsidRDefault="0016521C" w:rsidP="0016521C">
      <w:pPr>
        <w:pStyle w:val="PlainText"/>
        <w:jc w:val="both"/>
        <w:rPr>
          <w:rFonts w:ascii="Aptos" w:hAnsi="Aptos"/>
          <w:color w:val="002060"/>
          <w:szCs w:val="22"/>
        </w:rPr>
      </w:pPr>
    </w:p>
    <w:p w14:paraId="44DD5555" w14:textId="77777777" w:rsidR="0016521C" w:rsidRPr="0016521C" w:rsidRDefault="0016521C" w:rsidP="0016521C">
      <w:pPr>
        <w:pStyle w:val="PlainText"/>
        <w:jc w:val="both"/>
        <w:rPr>
          <w:rFonts w:ascii="Aptos" w:hAnsi="Aptos"/>
          <w:color w:val="002060"/>
        </w:rPr>
      </w:pPr>
      <w:r w:rsidRPr="0016521C">
        <w:rPr>
          <w:rFonts w:ascii="Aptos" w:hAnsi="Aptos"/>
          <w:color w:val="002060"/>
        </w:rPr>
        <w:t>On 11 December 2025, the Vietnam’s National Assembly concluded its 10th session, adopting 20 laws and resolutions covering broad legal areas including corporate regulation, cybersecurity, digital transformation, taxation, education, health, and investment policy. Multiple laws will take effect in 2026, affecting corporate structures, tech, data, tax, and investment landscapes.  Investment Law is one of the new laws passed.</w:t>
      </w:r>
    </w:p>
    <w:p w14:paraId="7A1F65CF" w14:textId="77777777" w:rsidR="0016521C" w:rsidRPr="0016521C" w:rsidRDefault="0016521C" w:rsidP="0016521C">
      <w:pPr>
        <w:pStyle w:val="PlainText"/>
        <w:jc w:val="both"/>
        <w:rPr>
          <w:rFonts w:ascii="Aptos" w:hAnsi="Aptos"/>
          <w:color w:val="002060"/>
        </w:rPr>
      </w:pPr>
    </w:p>
    <w:p w14:paraId="21919E6D" w14:textId="77777777" w:rsidR="0016521C" w:rsidRPr="0016521C" w:rsidRDefault="0016521C" w:rsidP="0016521C">
      <w:pPr>
        <w:pStyle w:val="PlainText"/>
        <w:jc w:val="both"/>
        <w:rPr>
          <w:rFonts w:ascii="Aptos" w:hAnsi="Aptos"/>
          <w:color w:val="002060"/>
        </w:rPr>
      </w:pPr>
      <w:r w:rsidRPr="0016521C">
        <w:rPr>
          <w:rFonts w:ascii="Aptos" w:hAnsi="Aptos"/>
          <w:color w:val="002060"/>
        </w:rPr>
        <w:t>This new Investment Law will come into effect from 1 March 2026. Notable changes:</w:t>
      </w:r>
    </w:p>
    <w:p w14:paraId="6A77888C" w14:textId="77777777" w:rsidR="0016521C" w:rsidRPr="0016521C" w:rsidRDefault="0016521C" w:rsidP="0016521C">
      <w:pPr>
        <w:pStyle w:val="PlainText"/>
        <w:jc w:val="both"/>
        <w:rPr>
          <w:rFonts w:ascii="Aptos" w:hAnsi="Aptos"/>
          <w:color w:val="002060"/>
        </w:rPr>
      </w:pPr>
    </w:p>
    <w:p w14:paraId="06BE519B"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Clarifying the scope of projects requiring investment policy approval</w:t>
      </w:r>
      <w:r w:rsidRPr="0016521C">
        <w:rPr>
          <w:rFonts w:ascii="Aptos" w:hAnsi="Aptos"/>
          <w:color w:val="002060"/>
        </w:rPr>
        <w:t xml:space="preserve">: The law specifically lists 20 types of projects requiring investment policy approval and narrows (partially) the cases requiring approval. The National Assembly now only approves the policy for one group of projects, the Prime Minister: 8 groups of projects, and the Chairman of the Provincial People's Committee: 13 groups of projects. The procedure for approving the policy for housing projects and urban area projects where the enterprise already owns land or is acquiring land has not been abolished. </w:t>
      </w:r>
    </w:p>
    <w:p w14:paraId="4E4D6C9E" w14:textId="77777777" w:rsidR="0016521C" w:rsidRPr="0016521C" w:rsidRDefault="0016521C" w:rsidP="0016521C">
      <w:pPr>
        <w:pStyle w:val="PlainText"/>
        <w:ind w:left="720"/>
        <w:jc w:val="both"/>
        <w:rPr>
          <w:rFonts w:ascii="Aptos" w:eastAsiaTheme="minorHAnsi" w:hAnsi="Aptos"/>
          <w:color w:val="002060"/>
        </w:rPr>
      </w:pPr>
    </w:p>
    <w:p w14:paraId="0B4CC3EA"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Streamlining the cases requiring adjustment of investment policy</w:t>
      </w:r>
      <w:r w:rsidRPr="0016521C">
        <w:rPr>
          <w:rFonts w:ascii="Aptos" w:hAnsi="Aptos"/>
          <w:color w:val="002060"/>
        </w:rPr>
        <w:t xml:space="preserve">: Two previously common cases (capital increase ≥20% and technology change) have been eliminated. Businesses only need to adjust projects in five cases. </w:t>
      </w:r>
    </w:p>
    <w:p w14:paraId="1B04ABAC" w14:textId="77777777" w:rsidR="0016521C" w:rsidRPr="0016521C" w:rsidRDefault="0016521C" w:rsidP="0016521C">
      <w:pPr>
        <w:pStyle w:val="ListParagraph"/>
        <w:jc w:val="both"/>
        <w:rPr>
          <w:rFonts w:ascii="Aptos" w:eastAsiaTheme="minorHAnsi" w:hAnsi="Aptos"/>
          <w:color w:val="002060"/>
        </w:rPr>
      </w:pPr>
    </w:p>
    <w:p w14:paraId="1D3A99C9"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 xml:space="preserve">Expanding the scope of project transfers: </w:t>
      </w:r>
      <w:r w:rsidRPr="0016521C">
        <w:rPr>
          <w:rFonts w:ascii="Aptos" w:hAnsi="Aptos"/>
          <w:color w:val="002060"/>
        </w:rPr>
        <w:t>Previously, only projects with approved investors or those with investment registration certificates could be transferred under the Investment Law. According to the new Law, projects with approved investment policies (and adjustments), or those with issued/adjusted investment certificates, can be transferred under the Investment Law.</w:t>
      </w:r>
    </w:p>
    <w:p w14:paraId="6C2A859D" w14:textId="77777777" w:rsidR="0016521C" w:rsidRPr="0016521C" w:rsidRDefault="0016521C" w:rsidP="0016521C">
      <w:pPr>
        <w:pStyle w:val="ListParagraph"/>
        <w:jc w:val="both"/>
        <w:rPr>
          <w:rFonts w:ascii="Aptos" w:eastAsiaTheme="minorHAnsi" w:hAnsi="Aptos"/>
          <w:color w:val="002060"/>
        </w:rPr>
      </w:pPr>
    </w:p>
    <w:p w14:paraId="3654D0D2"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 xml:space="preserve">Expanding the application of special investment procedures – the “green channel” mechanism: </w:t>
      </w:r>
      <w:r w:rsidRPr="0016521C">
        <w:rPr>
          <w:rFonts w:ascii="Aptos" w:hAnsi="Aptos"/>
          <w:color w:val="002060"/>
        </w:rPr>
        <w:t>Projects in industrial parks, export processing zones, high-tech zones, international financial centers, etc., can use the “green channel,” eliminating a series of pre-approval procedures (approval of investment policies, EIA, 1/500 scale plan, construction permit, fire safety). Management agencies shift to post-approval. This mechanism does not apply to urban projects or housing projects.</w:t>
      </w:r>
    </w:p>
    <w:p w14:paraId="6EDBDAA2" w14:textId="77777777" w:rsidR="0016521C" w:rsidRPr="0016521C" w:rsidRDefault="0016521C" w:rsidP="0016521C">
      <w:pPr>
        <w:pStyle w:val="ListParagraph"/>
        <w:jc w:val="both"/>
        <w:rPr>
          <w:rFonts w:ascii="Aptos" w:eastAsiaTheme="minorHAnsi" w:hAnsi="Aptos"/>
          <w:color w:val="002060"/>
        </w:rPr>
      </w:pPr>
    </w:p>
    <w:p w14:paraId="035F6A99"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More open to foreign investors</w:t>
      </w:r>
      <w:r w:rsidRPr="0016521C">
        <w:rPr>
          <w:rFonts w:ascii="Aptos" w:hAnsi="Aptos"/>
          <w:color w:val="002060"/>
        </w:rPr>
        <w:t xml:space="preserve">: The law allows the establishment of businesses without prior investment projects, provided they comply with market access conditions. This regulation removes a major bottleneck in attracting </w:t>
      </w:r>
      <w:proofErr w:type="spellStart"/>
      <w:r w:rsidRPr="0016521C">
        <w:rPr>
          <w:rFonts w:ascii="Aptos" w:hAnsi="Aptos"/>
          <w:color w:val="002060"/>
        </w:rPr>
        <w:t>FDI</w:t>
      </w:r>
      <w:proofErr w:type="spellEnd"/>
      <w:r w:rsidRPr="0016521C">
        <w:rPr>
          <w:rFonts w:ascii="Aptos" w:hAnsi="Aptos"/>
          <w:color w:val="002060"/>
        </w:rPr>
        <w:t xml:space="preserve"> and enhances the competitiveness of Vietnam's investment environment.</w:t>
      </w:r>
    </w:p>
    <w:p w14:paraId="7E8918DD" w14:textId="77777777" w:rsidR="0016521C" w:rsidRPr="0016521C" w:rsidRDefault="0016521C" w:rsidP="0016521C">
      <w:pPr>
        <w:pStyle w:val="ListParagraph"/>
        <w:jc w:val="both"/>
        <w:rPr>
          <w:rFonts w:ascii="Aptos" w:eastAsiaTheme="minorHAnsi" w:hAnsi="Aptos"/>
          <w:color w:val="002060"/>
        </w:rPr>
      </w:pPr>
    </w:p>
    <w:p w14:paraId="6C8BD9B5"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Flexible adjustment of project operating periods</w:t>
      </w:r>
      <w:r w:rsidRPr="0016521C">
        <w:rPr>
          <w:rFonts w:ascii="Aptos" w:hAnsi="Aptos"/>
          <w:color w:val="002060"/>
        </w:rPr>
        <w:t>: Investors are allowed to increase or decrease the project duration during implementation in certain cases, instead of only extending it when it is about to expire as before. Transitional provisions also strongly support projects that are behind schedule or being transferred, especially commercial and service real estate projects and condotel projects.</w:t>
      </w:r>
    </w:p>
    <w:p w14:paraId="4C2BE5AC" w14:textId="77777777" w:rsidR="0016521C" w:rsidRPr="0016521C" w:rsidRDefault="0016521C" w:rsidP="0016521C">
      <w:pPr>
        <w:pStyle w:val="ListParagraph"/>
        <w:jc w:val="both"/>
        <w:rPr>
          <w:rFonts w:ascii="Aptos" w:eastAsiaTheme="minorHAnsi" w:hAnsi="Aptos"/>
          <w:color w:val="002060"/>
        </w:rPr>
      </w:pPr>
    </w:p>
    <w:p w14:paraId="4B16C722" w14:textId="77777777" w:rsidR="0016521C" w:rsidRPr="0016521C" w:rsidRDefault="0016521C" w:rsidP="0016521C">
      <w:pPr>
        <w:pStyle w:val="PlainText"/>
        <w:numPr>
          <w:ilvl w:val="0"/>
          <w:numId w:val="42"/>
        </w:numPr>
        <w:jc w:val="both"/>
        <w:rPr>
          <w:rFonts w:ascii="Aptos" w:hAnsi="Aptos"/>
          <w:color w:val="002060"/>
        </w:rPr>
      </w:pPr>
      <w:r w:rsidRPr="0016521C">
        <w:rPr>
          <w:rFonts w:ascii="Aptos" w:hAnsi="Aptos"/>
          <w:b/>
          <w:bCs/>
          <w:color w:val="002060"/>
        </w:rPr>
        <w:t>Simplification of overseas investment</w:t>
      </w:r>
      <w:r w:rsidRPr="0016521C">
        <w:rPr>
          <w:rFonts w:ascii="Aptos" w:hAnsi="Aptos"/>
          <w:color w:val="002060"/>
        </w:rPr>
        <w:t>: The law abolishes the procedure for approving investment policies and narrows the scope of projects requiring overseas investment certificates. Most projects only need to register foreign exchange transactions.</w:t>
      </w:r>
    </w:p>
    <w:p w14:paraId="43E2406A" w14:textId="77777777" w:rsidR="0016521C" w:rsidRPr="0016521C" w:rsidRDefault="0016521C" w:rsidP="0016521C">
      <w:pPr>
        <w:pStyle w:val="ListParagraph"/>
        <w:rPr>
          <w:rFonts w:ascii="Aptos" w:eastAsiaTheme="minorHAnsi" w:hAnsi="Aptos"/>
          <w:b/>
          <w:bCs/>
          <w:color w:val="002060"/>
        </w:rPr>
      </w:pPr>
    </w:p>
    <w:p w14:paraId="59CDECE9" w14:textId="77777777" w:rsidR="0016521C" w:rsidRPr="0016521C" w:rsidRDefault="0016521C" w:rsidP="0016521C">
      <w:pPr>
        <w:pStyle w:val="PlainText"/>
        <w:jc w:val="both"/>
        <w:rPr>
          <w:rFonts w:ascii="Aptos" w:hAnsi="Aptos"/>
          <w:color w:val="002060"/>
        </w:rPr>
      </w:pPr>
      <w:r w:rsidRPr="0016521C">
        <w:rPr>
          <w:rFonts w:ascii="Aptos" w:hAnsi="Aptos"/>
          <w:color w:val="002060"/>
        </w:rPr>
        <w:t>         (viii)</w:t>
      </w:r>
      <w:r w:rsidRPr="0016521C">
        <w:rPr>
          <w:rFonts w:ascii="Aptos" w:hAnsi="Aptos"/>
          <w:b/>
          <w:bCs/>
          <w:color w:val="002060"/>
        </w:rPr>
        <w:t xml:space="preserve"> Reducing the number of conditional investment and business sectors</w:t>
      </w:r>
      <w:r w:rsidRPr="0016521C">
        <w:rPr>
          <w:rFonts w:ascii="Aptos" w:hAnsi="Aptos"/>
          <w:color w:val="002060"/>
        </w:rPr>
        <w:t>: The law reduces approximately 38 sectors and narrows down another 20 sectors.</w:t>
      </w:r>
    </w:p>
    <w:p w14:paraId="4C068EA5" w14:textId="77777777" w:rsidR="0016521C" w:rsidRPr="0016521C" w:rsidRDefault="0016521C" w:rsidP="0016521C">
      <w:pPr>
        <w:pStyle w:val="PlainText"/>
        <w:jc w:val="both"/>
        <w:rPr>
          <w:rFonts w:ascii="Aptos" w:hAnsi="Aptos"/>
          <w:color w:val="002060"/>
        </w:rPr>
      </w:pPr>
    </w:p>
    <w:p w14:paraId="329B2E47" w14:textId="77777777" w:rsidR="0016521C" w:rsidRPr="0016521C" w:rsidRDefault="0016521C" w:rsidP="0016521C">
      <w:pPr>
        <w:pStyle w:val="PlainText"/>
        <w:jc w:val="both"/>
        <w:rPr>
          <w:rFonts w:ascii="Aptos" w:hAnsi="Aptos"/>
          <w:color w:val="002060"/>
        </w:rPr>
      </w:pPr>
      <w:r w:rsidRPr="0016521C">
        <w:rPr>
          <w:rFonts w:ascii="Aptos" w:hAnsi="Aptos"/>
          <w:color w:val="002060"/>
        </w:rPr>
        <w:t>***</w:t>
      </w:r>
    </w:p>
    <w:p w14:paraId="064B2793" w14:textId="77777777" w:rsidR="0016521C" w:rsidRPr="0016521C" w:rsidRDefault="0016521C" w:rsidP="0016521C">
      <w:pPr>
        <w:jc w:val="both"/>
        <w:rPr>
          <w:rFonts w:ascii="Aptos" w:hAnsi="Aptos"/>
          <w:color w:val="002060"/>
        </w:rPr>
      </w:pPr>
    </w:p>
    <w:p w14:paraId="219418AD" w14:textId="0007990A" w:rsidR="0016521C" w:rsidRPr="0016521C" w:rsidRDefault="0016521C" w:rsidP="0016521C">
      <w:pPr>
        <w:jc w:val="both"/>
        <w:rPr>
          <w:rFonts w:ascii="Aptos" w:hAnsi="Aptos"/>
          <w:color w:val="002060"/>
        </w:rPr>
      </w:pPr>
      <w:r w:rsidRPr="0016521C">
        <w:rPr>
          <w:rFonts w:ascii="Aptos" w:hAnsi="Aptos"/>
          <w:color w:val="002060"/>
        </w:rPr>
        <w:t xml:space="preserve">Please do not hesitate to contact Dr. Oliver Massmann at </w:t>
      </w:r>
      <w:hyperlink r:id="rId8" w:tooltip="mailto:omassmann@duanemorris.com" w:history="1">
        <w:r w:rsidRPr="0016521C">
          <w:rPr>
            <w:rStyle w:val="Hyperlink"/>
            <w:color w:val="002060"/>
          </w:rPr>
          <w:t>omassmann@duanemorris.com</w:t>
        </w:r>
      </w:hyperlink>
      <w:r w:rsidRPr="0016521C">
        <w:rPr>
          <w:rFonts w:ascii="Aptos" w:hAnsi="Aptos"/>
          <w:color w:val="002060"/>
        </w:rPr>
        <w:t> if you have any questions. Dr. Oliver Massmann is the General Director of Duane Morris Vietnam LLC.</w:t>
      </w:r>
    </w:p>
    <w:p w14:paraId="54A3613D" w14:textId="77777777" w:rsidR="0016521C" w:rsidRDefault="0016521C" w:rsidP="0016521C">
      <w:pPr>
        <w:jc w:val="both"/>
        <w:rPr>
          <w:rFonts w:ascii="Aptos" w:hAnsi="Aptos"/>
        </w:rPr>
      </w:pPr>
    </w:p>
    <w:p w14:paraId="0D4CDBEE" w14:textId="77777777" w:rsidR="0016521C" w:rsidRDefault="0016521C" w:rsidP="0016521C">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49835D1E" w14:textId="77777777" w:rsidR="0016521C" w:rsidRDefault="0016521C" w:rsidP="0016521C">
      <w:pPr>
        <w:rPr>
          <w:rFonts w:ascii="Aptos" w:hAnsi="Aptos"/>
        </w:rPr>
      </w:pPr>
    </w:p>
    <w:p w14:paraId="45F55B86" w14:textId="77777777" w:rsidR="00161717" w:rsidRPr="00B627FB" w:rsidRDefault="00161717" w:rsidP="00B627FB"/>
    <w:p w14:paraId="0683842B" w14:textId="345D422B" w:rsidR="00687F12" w:rsidRDefault="00687F12" w:rsidP="00687F12">
      <w:pPr>
        <w:pStyle w:val="Heading1"/>
        <w:shd w:val="clear" w:color="auto" w:fill="FFFFFF"/>
        <w:spacing w:before="0" w:line="288" w:lineRule="atLeast"/>
        <w:rPr>
          <w:rFonts w:ascii="Aptos" w:eastAsia="Malgun Gothic" w:hAnsi="Aptos" w:cs="Times New Roman"/>
          <w:color w:val="002060"/>
        </w:rPr>
      </w:pPr>
      <w:bookmarkStart w:id="62" w:name="_Toc215750949"/>
      <w:bookmarkStart w:id="63" w:name="_Toc216355044"/>
      <w:bookmarkStart w:id="64" w:name="_Toc216965792"/>
      <w:r w:rsidRPr="004C6CBE">
        <w:rPr>
          <w:rFonts w:ascii="Aptos" w:eastAsia="Malgun Gothic" w:hAnsi="Aptos" w:cs="Times New Roman"/>
          <w:color w:val="002060"/>
        </w:rPr>
        <w:t>FINANCE</w:t>
      </w:r>
      <w:bookmarkEnd w:id="60"/>
      <w:bookmarkEnd w:id="62"/>
      <w:bookmarkEnd w:id="63"/>
      <w:bookmarkEnd w:id="64"/>
    </w:p>
    <w:p w14:paraId="73E76C2D" w14:textId="332EBA60" w:rsidR="00E44451" w:rsidRPr="00E44451" w:rsidRDefault="00E44451" w:rsidP="00E4445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5" w:name="_Toc216965793"/>
      <w:r w:rsidRPr="00E44451">
        <w:rPr>
          <w:rFonts w:ascii="Aptos" w:eastAsia="Times New Roman" w:hAnsi="Aptos" w:cs="Times New Roman"/>
          <w:b/>
          <w:bCs/>
          <w:color w:val="002060"/>
          <w:kern w:val="36"/>
          <w:sz w:val="28"/>
          <w:szCs w:val="28"/>
        </w:rPr>
        <w:t xml:space="preserve">Corporate bond issuances reach $17.5 </w:t>
      </w:r>
      <w:proofErr w:type="spellStart"/>
      <w:r w:rsidRPr="00E44451">
        <w:rPr>
          <w:rFonts w:ascii="Aptos" w:eastAsia="Times New Roman" w:hAnsi="Aptos" w:cs="Times New Roman"/>
          <w:b/>
          <w:bCs/>
          <w:color w:val="002060"/>
          <w:kern w:val="36"/>
          <w:sz w:val="28"/>
          <w:szCs w:val="28"/>
        </w:rPr>
        <w:t>bln</w:t>
      </w:r>
      <w:proofErr w:type="spellEnd"/>
      <w:r w:rsidRPr="00E44451">
        <w:rPr>
          <w:rFonts w:ascii="Aptos" w:eastAsia="Times New Roman" w:hAnsi="Aptos" w:cs="Times New Roman"/>
          <w:b/>
          <w:bCs/>
          <w:color w:val="002060"/>
          <w:kern w:val="36"/>
          <w:sz w:val="28"/>
          <w:szCs w:val="28"/>
        </w:rPr>
        <w:t xml:space="preserve"> in </w:t>
      </w:r>
      <w:proofErr w:type="spellStart"/>
      <w:r w:rsidRPr="00E44451">
        <w:rPr>
          <w:rFonts w:ascii="Aptos" w:eastAsia="Times New Roman" w:hAnsi="Aptos" w:cs="Times New Roman"/>
          <w:b/>
          <w:bCs/>
          <w:color w:val="002060"/>
          <w:kern w:val="36"/>
          <w:sz w:val="28"/>
          <w:szCs w:val="28"/>
        </w:rPr>
        <w:t>11M</w:t>
      </w:r>
      <w:bookmarkEnd w:id="65"/>
      <w:proofErr w:type="spellEnd"/>
    </w:p>
    <w:p w14:paraId="102DFC20" w14:textId="654E6E90" w:rsidR="00E44451" w:rsidRPr="00E44451" w:rsidRDefault="00E44451" w:rsidP="00E44451">
      <w:pPr>
        <w:spacing w:after="0" w:line="288" w:lineRule="auto"/>
        <w:jc w:val="both"/>
        <w:rPr>
          <w:rFonts w:ascii="Aptos" w:eastAsia="Times New Roman" w:hAnsi="Aptos" w:cs="Times New Roman"/>
          <w:i/>
          <w:iCs/>
          <w:color w:val="002060"/>
          <w:sz w:val="18"/>
          <w:szCs w:val="18"/>
        </w:rPr>
      </w:pPr>
      <w:r w:rsidRPr="00E44451">
        <w:rPr>
          <w:rFonts w:ascii="Aptos" w:eastAsia="Times New Roman" w:hAnsi="Aptos" w:cs="Times New Roman"/>
          <w:i/>
          <w:iCs/>
          <w:color w:val="002060"/>
          <w:sz w:val="18"/>
          <w:szCs w:val="18"/>
        </w:rPr>
        <w:t>VET</w:t>
      </w:r>
    </w:p>
    <w:p w14:paraId="17C131B0" w14:textId="77777777" w:rsidR="00E44451" w:rsidRPr="00E44451" w:rsidRDefault="00E44451" w:rsidP="00E44451">
      <w:pPr>
        <w:spacing w:after="0" w:line="288" w:lineRule="auto"/>
        <w:jc w:val="both"/>
        <w:rPr>
          <w:rFonts w:ascii="Aptos" w:eastAsia="Times New Roman" w:hAnsi="Aptos" w:cs="Times New Roman"/>
          <w:color w:val="002060"/>
        </w:rPr>
      </w:pPr>
    </w:p>
    <w:p w14:paraId="37E20E49" w14:textId="008964CA" w:rsidR="00E44451" w:rsidRPr="00E44451" w:rsidRDefault="00E44451" w:rsidP="00E44451">
      <w:pPr>
        <w:spacing w:after="100" w:afterAutospacing="1" w:line="288" w:lineRule="auto"/>
        <w:jc w:val="both"/>
        <w:outlineLvl w:val="1"/>
        <w:rPr>
          <w:rFonts w:ascii="Aptos" w:eastAsia="Times New Roman" w:hAnsi="Aptos" w:cs="Arial"/>
          <w:b/>
          <w:bCs/>
          <w:i/>
          <w:iCs/>
          <w:color w:val="002060"/>
        </w:rPr>
      </w:pPr>
      <w:bookmarkStart w:id="66" w:name="_Toc216965794"/>
      <w:r w:rsidRPr="00E44451">
        <w:rPr>
          <w:rFonts w:ascii="Aptos" w:eastAsia="Times New Roman" w:hAnsi="Aptos" w:cs="Arial"/>
          <w:b/>
          <w:bCs/>
          <w:i/>
          <w:iCs/>
          <w:color w:val="002060"/>
        </w:rPr>
        <w:t>The figure up 31% year-on-year.</w:t>
      </w:r>
      <w:bookmarkEnd w:id="66"/>
    </w:p>
    <w:p w14:paraId="764ADC9C" w14:textId="77777777" w:rsidR="00E44451" w:rsidRPr="00E44451" w:rsidRDefault="00E44451" w:rsidP="00E44451">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The total value of corporate bonds successfully issued in the first 11 months of 2025 was estimated at more than </w:t>
      </w:r>
      <w:proofErr w:type="spellStart"/>
      <w:r w:rsidRPr="00E44451">
        <w:rPr>
          <w:rFonts w:ascii="Aptos" w:eastAsia="Times New Roman" w:hAnsi="Aptos" w:cs="Arial"/>
          <w:color w:val="002060"/>
        </w:rPr>
        <w:t>VND511.26</w:t>
      </w:r>
      <w:proofErr w:type="spellEnd"/>
      <w:r w:rsidRPr="00E44451">
        <w:rPr>
          <w:rFonts w:ascii="Aptos" w:eastAsia="Times New Roman" w:hAnsi="Aptos" w:cs="Arial"/>
          <w:color w:val="002060"/>
        </w:rPr>
        <w:t xml:space="preserve"> trillion ($17.5 billion), representing a year-on-year increase of 31%, according to the Vietnam Bond Market Association (</w:t>
      </w:r>
      <w:proofErr w:type="spellStart"/>
      <w:r w:rsidRPr="00E44451">
        <w:rPr>
          <w:rFonts w:ascii="Aptos" w:eastAsia="Times New Roman" w:hAnsi="Aptos" w:cs="Arial"/>
          <w:color w:val="002060"/>
        </w:rPr>
        <w:t>VBMA</w:t>
      </w:r>
      <w:proofErr w:type="spellEnd"/>
      <w:r w:rsidRPr="00E44451">
        <w:rPr>
          <w:rFonts w:ascii="Aptos" w:eastAsia="Times New Roman" w:hAnsi="Aptos" w:cs="Arial"/>
          <w:color w:val="002060"/>
        </w:rPr>
        <w:t>).</w:t>
      </w:r>
    </w:p>
    <w:p w14:paraId="30FE4190" w14:textId="77777777" w:rsidR="00E44451" w:rsidRPr="00E44451" w:rsidRDefault="00E44451" w:rsidP="00E44451">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Of the total, public bond issuances accounted for over </w:t>
      </w:r>
      <w:proofErr w:type="spellStart"/>
      <w:r w:rsidRPr="00E44451">
        <w:rPr>
          <w:rFonts w:ascii="Aptos" w:eastAsia="Times New Roman" w:hAnsi="Aptos" w:cs="Arial"/>
          <w:color w:val="002060"/>
        </w:rPr>
        <w:t>VND50.58</w:t>
      </w:r>
      <w:proofErr w:type="spellEnd"/>
      <w:r w:rsidRPr="00E44451">
        <w:rPr>
          <w:rFonts w:ascii="Aptos" w:eastAsia="Times New Roman" w:hAnsi="Aptos" w:cs="Arial"/>
          <w:color w:val="002060"/>
        </w:rPr>
        <w:t xml:space="preserve"> trillion ($1.92 billion), while value of privately placed bonds reached more than </w:t>
      </w:r>
      <w:proofErr w:type="spellStart"/>
      <w:r w:rsidRPr="00E44451">
        <w:rPr>
          <w:rFonts w:ascii="Aptos" w:eastAsia="Times New Roman" w:hAnsi="Aptos" w:cs="Arial"/>
          <w:color w:val="002060"/>
        </w:rPr>
        <w:t>VND460.67</w:t>
      </w:r>
      <w:proofErr w:type="spellEnd"/>
      <w:r w:rsidRPr="00E44451">
        <w:rPr>
          <w:rFonts w:ascii="Aptos" w:eastAsia="Times New Roman" w:hAnsi="Aptos" w:cs="Arial"/>
          <w:color w:val="002060"/>
        </w:rPr>
        <w:t xml:space="preserve"> trillion.</w:t>
      </w:r>
    </w:p>
    <w:p w14:paraId="2525F294" w14:textId="77777777" w:rsidR="00E44451" w:rsidRPr="00E44451" w:rsidRDefault="00E44451" w:rsidP="00E44451">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In November alone, the total value of corporate bond issuances exceeded </w:t>
      </w:r>
      <w:proofErr w:type="spellStart"/>
      <w:r w:rsidRPr="00E44451">
        <w:rPr>
          <w:rFonts w:ascii="Aptos" w:eastAsia="Times New Roman" w:hAnsi="Aptos" w:cs="Arial"/>
          <w:color w:val="002060"/>
        </w:rPr>
        <w:t>VND19.6</w:t>
      </w:r>
      <w:proofErr w:type="spellEnd"/>
      <w:r w:rsidRPr="00E44451">
        <w:rPr>
          <w:rFonts w:ascii="Aptos" w:eastAsia="Times New Roman" w:hAnsi="Aptos" w:cs="Arial"/>
          <w:color w:val="002060"/>
        </w:rPr>
        <w:t xml:space="preserve"> trillion, down 70.7% from the previous month.</w:t>
      </w:r>
    </w:p>
    <w:p w14:paraId="3BD7D342" w14:textId="77777777" w:rsidR="00E44451" w:rsidRPr="00E44451" w:rsidRDefault="00E44451" w:rsidP="00E44451">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The month also saw a surge in early bond redemptions, with companies buying back more than </w:t>
      </w:r>
      <w:proofErr w:type="spellStart"/>
      <w:r w:rsidRPr="00E44451">
        <w:rPr>
          <w:rFonts w:ascii="Aptos" w:eastAsia="Times New Roman" w:hAnsi="Aptos" w:cs="Arial"/>
          <w:color w:val="002060"/>
        </w:rPr>
        <w:t>VND11.1</w:t>
      </w:r>
      <w:proofErr w:type="spellEnd"/>
      <w:r w:rsidRPr="00E44451">
        <w:rPr>
          <w:rFonts w:ascii="Aptos" w:eastAsia="Times New Roman" w:hAnsi="Aptos" w:cs="Arial"/>
          <w:color w:val="002060"/>
        </w:rPr>
        <w:t xml:space="preserve"> trillion ($423 million) worth of bonds, up 2% year-on-year.</w:t>
      </w:r>
    </w:p>
    <w:p w14:paraId="61D06D5B" w14:textId="77777777" w:rsidR="00E44451" w:rsidRPr="00E44451" w:rsidRDefault="00E44451" w:rsidP="00E44451">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Looking ahead, around </w:t>
      </w:r>
      <w:proofErr w:type="spellStart"/>
      <w:r w:rsidRPr="00E44451">
        <w:rPr>
          <w:rFonts w:ascii="Aptos" w:eastAsia="Times New Roman" w:hAnsi="Aptos" w:cs="Arial"/>
          <w:color w:val="002060"/>
        </w:rPr>
        <w:t>VND28</w:t>
      </w:r>
      <w:proofErr w:type="spellEnd"/>
      <w:r w:rsidRPr="00E44451">
        <w:rPr>
          <w:rFonts w:ascii="Aptos" w:eastAsia="Times New Roman" w:hAnsi="Aptos" w:cs="Arial"/>
          <w:color w:val="002060"/>
        </w:rPr>
        <w:t xml:space="preserve"> trillion ($1.06 billion) worth of corporate bonds are set to mature by the end of 2025.</w:t>
      </w:r>
    </w:p>
    <w:p w14:paraId="282C8F38" w14:textId="6C3D48B9" w:rsidR="000D1404" w:rsidRPr="00765CDF" w:rsidRDefault="00E44451" w:rsidP="00765CDF">
      <w:pPr>
        <w:shd w:val="clear" w:color="auto" w:fill="FFFFFF"/>
        <w:spacing w:before="100" w:beforeAutospacing="1" w:after="100" w:afterAutospacing="1" w:line="288" w:lineRule="auto"/>
        <w:jc w:val="both"/>
        <w:rPr>
          <w:rFonts w:ascii="Aptos" w:eastAsia="Times New Roman" w:hAnsi="Aptos" w:cs="Arial"/>
          <w:color w:val="002060"/>
        </w:rPr>
      </w:pPr>
      <w:r w:rsidRPr="00E44451">
        <w:rPr>
          <w:rFonts w:ascii="Aptos" w:eastAsia="Times New Roman" w:hAnsi="Aptos" w:cs="Arial"/>
          <w:color w:val="002060"/>
        </w:rPr>
        <w:t xml:space="preserve">Meanwhile, during the January–November period, the State Treasury raised more than </w:t>
      </w:r>
      <w:proofErr w:type="spellStart"/>
      <w:r w:rsidRPr="00E44451">
        <w:rPr>
          <w:rFonts w:ascii="Aptos" w:eastAsia="Times New Roman" w:hAnsi="Aptos" w:cs="Arial"/>
          <w:color w:val="002060"/>
        </w:rPr>
        <w:t>VND306.9</w:t>
      </w:r>
      <w:proofErr w:type="spellEnd"/>
      <w:r w:rsidRPr="00E44451">
        <w:rPr>
          <w:rFonts w:ascii="Aptos" w:eastAsia="Times New Roman" w:hAnsi="Aptos" w:cs="Arial"/>
          <w:color w:val="002060"/>
        </w:rPr>
        <w:t xml:space="preserve"> trillion through Government bond auctions, equivalent to 61.4% of the annual plan.</w:t>
      </w:r>
    </w:p>
    <w:bookmarkStart w:id="67" w:name="_Toc28949349"/>
    <w:bookmarkStart w:id="68" w:name="_Toc29553153"/>
    <w:bookmarkStart w:id="69" w:name="_Toc31365275"/>
    <w:bookmarkStart w:id="70" w:name="_Toc31968678"/>
    <w:bookmarkStart w:id="71" w:name="_Toc33177772"/>
    <w:bookmarkStart w:id="72" w:name="_Toc33784195"/>
    <w:bookmarkStart w:id="73" w:name="_Toc34387332"/>
    <w:bookmarkStart w:id="74" w:name="_Toc34992442"/>
    <w:bookmarkStart w:id="75" w:name="_Toc36200889"/>
    <w:bookmarkStart w:id="76" w:name="_Toc36804857"/>
    <w:bookmarkStart w:id="77" w:name="_Toc37412091"/>
    <w:bookmarkStart w:id="78" w:name="_Toc38016885"/>
    <w:bookmarkStart w:id="79" w:name="_Toc38623235"/>
    <w:bookmarkStart w:id="80" w:name="_Toc47007101"/>
    <w:bookmarkStart w:id="81" w:name="_Toc47608047"/>
    <w:bookmarkStart w:id="82" w:name="_Toc48219500"/>
    <w:bookmarkStart w:id="83" w:name="_Toc48816704"/>
    <w:bookmarkStart w:id="84" w:name="_Toc49427949"/>
    <w:bookmarkStart w:id="85" w:name="_Toc50027094"/>
    <w:bookmarkStart w:id="86" w:name="_Toc50638507"/>
    <w:bookmarkStart w:id="87" w:name="_Toc51235697"/>
    <w:bookmarkStart w:id="88" w:name="_Toc51848397"/>
    <w:bookmarkStart w:id="89" w:name="_Toc52453548"/>
    <w:bookmarkStart w:id="90" w:name="_Toc53055800"/>
    <w:bookmarkStart w:id="91" w:name="_Toc53660720"/>
    <w:bookmarkStart w:id="92" w:name="_Toc54259220"/>
    <w:bookmarkStart w:id="93" w:name="_Toc54865633"/>
    <w:bookmarkStart w:id="94" w:name="_Toc55477664"/>
    <w:bookmarkStart w:id="95" w:name="_Toc56073552"/>
    <w:bookmarkStart w:id="96" w:name="_Toc56678760"/>
    <w:bookmarkStart w:id="97" w:name="_Toc57284469"/>
    <w:bookmarkStart w:id="98" w:name="_Toc57895618"/>
    <w:bookmarkStart w:id="99" w:name="_Toc58494285"/>
    <w:bookmarkStart w:id="100" w:name="_Toc59104486"/>
    <w:bookmarkStart w:id="101" w:name="_Toc60922245"/>
    <w:bookmarkStart w:id="102" w:name="_Toc61518213"/>
    <w:bookmarkStart w:id="103" w:name="_Toc62129056"/>
    <w:bookmarkStart w:id="104" w:name="_Toc62734935"/>
    <w:bookmarkStart w:id="105" w:name="_Toc63333210"/>
    <w:bookmarkStart w:id="106" w:name="_Toc65152047"/>
    <w:bookmarkStart w:id="107" w:name="_Toc65759398"/>
    <w:bookmarkStart w:id="108" w:name="_Toc66363537"/>
    <w:bookmarkStart w:id="109" w:name="_Toc66960044"/>
    <w:bookmarkStart w:id="110" w:name="_Toc67652141"/>
    <w:bookmarkStart w:id="111" w:name="_Toc68179917"/>
    <w:bookmarkStart w:id="112" w:name="_Toc68774144"/>
    <w:bookmarkStart w:id="113" w:name="_Toc69386909"/>
    <w:bookmarkStart w:id="114" w:name="_Toc69991765"/>
    <w:bookmarkStart w:id="115" w:name="_Toc70509838"/>
    <w:bookmarkStart w:id="116" w:name="_Toc71207391"/>
    <w:bookmarkStart w:id="117" w:name="_Toc71799301"/>
    <w:bookmarkStart w:id="118" w:name="_Toc72414970"/>
    <w:bookmarkStart w:id="119" w:name="_Toc73015451"/>
    <w:bookmarkStart w:id="120" w:name="_Toc73618175"/>
    <w:bookmarkStart w:id="121" w:name="_Toc74224508"/>
    <w:bookmarkStart w:id="122" w:name="_Toc74836027"/>
    <w:bookmarkStart w:id="123" w:name="_Toc75439620"/>
    <w:bookmarkStart w:id="124" w:name="_Toc76033386"/>
    <w:bookmarkStart w:id="125" w:name="_Toc76568181"/>
    <w:bookmarkStart w:id="126" w:name="_Toc77249819"/>
    <w:bookmarkStart w:id="127" w:name="_Toc77848115"/>
    <w:bookmarkStart w:id="128" w:name="_Toc78458398"/>
    <w:bookmarkStart w:id="129" w:name="_Toc79065734"/>
    <w:bookmarkStart w:id="130" w:name="_Toc79674824"/>
    <w:bookmarkStart w:id="131" w:name="_Toc80967350"/>
    <w:bookmarkStart w:id="132" w:name="_Toc82098800"/>
    <w:bookmarkStart w:id="133" w:name="_Toc82697201"/>
    <w:bookmarkStart w:id="134" w:name="_Toc83296665"/>
    <w:bookmarkStart w:id="135" w:name="_Toc83896624"/>
    <w:bookmarkStart w:id="136" w:name="_Toc84511067"/>
    <w:bookmarkStart w:id="137" w:name="_Toc85126352"/>
    <w:bookmarkStart w:id="138" w:name="_Toc85726059"/>
    <w:bookmarkStart w:id="139" w:name="_Toc86326946"/>
    <w:bookmarkStart w:id="140" w:name="_Toc86928719"/>
    <w:bookmarkStart w:id="141" w:name="_Toc87533861"/>
    <w:bookmarkStart w:id="142" w:name="_Toc88139972"/>
    <w:bookmarkStart w:id="143" w:name="_Toc88827420"/>
    <w:bookmarkStart w:id="144" w:name="_Toc89348593"/>
    <w:bookmarkStart w:id="145" w:name="_Toc89954355"/>
    <w:bookmarkStart w:id="146" w:name="_Toc90547126"/>
    <w:bookmarkStart w:id="147" w:name="_Toc91162874"/>
    <w:bookmarkStart w:id="148" w:name="_Toc92977888"/>
    <w:bookmarkStart w:id="149" w:name="_Toc93582831"/>
    <w:bookmarkStart w:id="150" w:name="_Toc94185873"/>
    <w:bookmarkStart w:id="151" w:name="_Toc124758938"/>
    <w:bookmarkStart w:id="152" w:name="_Toc126243195"/>
    <w:bookmarkStart w:id="153" w:name="_Toc126844370"/>
    <w:bookmarkStart w:id="154" w:name="_Toc127449232"/>
    <w:bookmarkStart w:id="155" w:name="_Toc128057341"/>
    <w:bookmarkStart w:id="156" w:name="_Toc128657894"/>
    <w:bookmarkStart w:id="157" w:name="_Toc129265040"/>
    <w:bookmarkStart w:id="158" w:name="_Toc129869282"/>
    <w:bookmarkStart w:id="159" w:name="_Toc130472586"/>
    <w:bookmarkStart w:id="160" w:name="_Toc131080425"/>
    <w:bookmarkStart w:id="161" w:name="_Toc131684258"/>
    <w:bookmarkStart w:id="162" w:name="_Toc132288734"/>
    <w:bookmarkStart w:id="163" w:name="_Toc132880391"/>
    <w:bookmarkStart w:id="164" w:name="_Toc133498209"/>
    <w:bookmarkStart w:id="165" w:name="_Toc134108005"/>
    <w:bookmarkStart w:id="166" w:name="_Toc134709543"/>
    <w:bookmarkStart w:id="167" w:name="_Toc134709694"/>
    <w:bookmarkStart w:id="168" w:name="_Toc135315967"/>
    <w:bookmarkStart w:id="169" w:name="_Toc135915557"/>
    <w:bookmarkStart w:id="170" w:name="_Toc136526485"/>
    <w:bookmarkStart w:id="171" w:name="_Toc137126045"/>
    <w:bookmarkStart w:id="172" w:name="_Toc137733670"/>
    <w:bookmarkStart w:id="173" w:name="_Toc138336636"/>
    <w:bookmarkStart w:id="174" w:name="_Toc138940620"/>
    <w:bookmarkStart w:id="175" w:name="_Toc139544017"/>
    <w:bookmarkStart w:id="176" w:name="_Toc140151828"/>
    <w:bookmarkStart w:id="177" w:name="_Toc140757903"/>
    <w:bookmarkStart w:id="178" w:name="_Toc141359482"/>
    <w:bookmarkStart w:id="179" w:name="_Toc141965594"/>
    <w:bookmarkStart w:id="180" w:name="_Toc142569943"/>
    <w:bookmarkStart w:id="181" w:name="_Toc143174996"/>
    <w:bookmarkStart w:id="182" w:name="_Toc143779698"/>
    <w:bookmarkStart w:id="183" w:name="_Toc144384324"/>
    <w:bookmarkStart w:id="184" w:name="_Toc144991137"/>
    <w:bookmarkStart w:id="185" w:name="_Toc145601267"/>
    <w:bookmarkStart w:id="186" w:name="_Toc146205286"/>
    <w:bookmarkStart w:id="187" w:name="_Toc146808595"/>
    <w:bookmarkStart w:id="188" w:name="_Toc147412051"/>
    <w:bookmarkStart w:id="189" w:name="_Toc148007936"/>
    <w:bookmarkStart w:id="190" w:name="_Toc148621865"/>
    <w:bookmarkStart w:id="191" w:name="_Toc149228676"/>
    <w:bookmarkStart w:id="192" w:name="_Toc149826950"/>
    <w:bookmarkStart w:id="193" w:name="_Toc150433295"/>
    <w:bookmarkStart w:id="194" w:name="_Toc151040593"/>
    <w:bookmarkStart w:id="195" w:name="_Toc151645171"/>
    <w:bookmarkStart w:id="196" w:name="_Toc152248760"/>
    <w:bookmarkStart w:id="197" w:name="_Toc153458078"/>
    <w:bookmarkStart w:id="198" w:name="_Toc154061699"/>
    <w:bookmarkStart w:id="199"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08037EAF" w14:textId="66A965BF" w:rsidR="00F962CB" w:rsidRDefault="00245E42" w:rsidP="003609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360994"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229579B1" w14:textId="77777777" w:rsidR="00765CDF" w:rsidRDefault="00765CDF" w:rsidP="00360994">
      <w:pPr>
        <w:spacing w:line="288" w:lineRule="auto"/>
        <w:jc w:val="right"/>
        <w:rPr>
          <w:rStyle w:val="Hyperlink"/>
          <w:rFonts w:ascii="Aptos" w:eastAsia="Malgun Gothic" w:hAnsi="Aptos" w:cs="Times New Roman"/>
          <w:color w:val="002060"/>
        </w:rPr>
      </w:pPr>
    </w:p>
    <w:p w14:paraId="1CEE26A0" w14:textId="77777777" w:rsidR="00765CDF" w:rsidRDefault="00765CDF" w:rsidP="00360994">
      <w:pPr>
        <w:spacing w:line="288" w:lineRule="auto"/>
        <w:jc w:val="right"/>
        <w:rPr>
          <w:rStyle w:val="Hyperlink"/>
          <w:rFonts w:ascii="Aptos" w:eastAsia="Malgun Gothic" w:hAnsi="Aptos" w:cs="Times New Roman"/>
          <w:color w:val="002060"/>
        </w:rPr>
      </w:pPr>
    </w:p>
    <w:p w14:paraId="3A6481D1" w14:textId="77777777" w:rsidR="00765CDF" w:rsidRPr="00765CDF" w:rsidRDefault="00765CDF" w:rsidP="00765CDF">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0" w:name="_Toc216965795"/>
      <w:r w:rsidRPr="00765CDF">
        <w:rPr>
          <w:rFonts w:ascii="Aptos" w:eastAsia="Times New Roman" w:hAnsi="Aptos" w:cs="Times New Roman"/>
          <w:b/>
          <w:bCs/>
          <w:color w:val="002060"/>
          <w:kern w:val="36"/>
          <w:sz w:val="28"/>
          <w:szCs w:val="28"/>
        </w:rPr>
        <w:lastRenderedPageBreak/>
        <w:t>$</w:t>
      </w:r>
      <w:proofErr w:type="spellStart"/>
      <w:r w:rsidRPr="00765CDF">
        <w:rPr>
          <w:rFonts w:ascii="Aptos" w:eastAsia="Times New Roman" w:hAnsi="Aptos" w:cs="Times New Roman"/>
          <w:b/>
          <w:bCs/>
          <w:color w:val="002060"/>
          <w:kern w:val="36"/>
          <w:sz w:val="28"/>
          <w:szCs w:val="28"/>
        </w:rPr>
        <w:t>19bln</w:t>
      </w:r>
      <w:proofErr w:type="spellEnd"/>
      <w:r w:rsidRPr="00765CDF">
        <w:rPr>
          <w:rFonts w:ascii="Aptos" w:eastAsia="Times New Roman" w:hAnsi="Aptos" w:cs="Times New Roman"/>
          <w:b/>
          <w:bCs/>
          <w:color w:val="002060"/>
          <w:kern w:val="36"/>
          <w:sz w:val="28"/>
          <w:szCs w:val="28"/>
        </w:rPr>
        <w:t xml:space="preserve"> credit program launched in support of power, transport and technology projects</w:t>
      </w:r>
      <w:bookmarkEnd w:id="200"/>
    </w:p>
    <w:p w14:paraId="3CD4FA9B" w14:textId="77257FBD" w:rsidR="00765CDF" w:rsidRPr="00765CDF" w:rsidRDefault="00765CDF" w:rsidP="00765CDF">
      <w:pPr>
        <w:spacing w:after="0" w:line="288" w:lineRule="auto"/>
        <w:jc w:val="both"/>
        <w:rPr>
          <w:rFonts w:ascii="Aptos" w:eastAsia="Times New Roman" w:hAnsi="Aptos" w:cs="Times New Roman"/>
          <w:i/>
          <w:iCs/>
          <w:color w:val="002060"/>
          <w:sz w:val="18"/>
          <w:szCs w:val="18"/>
        </w:rPr>
      </w:pPr>
      <w:r w:rsidRPr="00765CDF">
        <w:rPr>
          <w:rFonts w:ascii="Aptos" w:eastAsia="Times New Roman" w:hAnsi="Aptos" w:cs="Times New Roman"/>
          <w:i/>
          <w:iCs/>
          <w:color w:val="002060"/>
          <w:sz w:val="18"/>
          <w:szCs w:val="18"/>
        </w:rPr>
        <w:t>VET</w:t>
      </w:r>
    </w:p>
    <w:p w14:paraId="178211C2" w14:textId="77777777" w:rsidR="00765CDF" w:rsidRPr="00765CDF" w:rsidRDefault="00765CDF" w:rsidP="00765CDF">
      <w:pPr>
        <w:spacing w:after="0" w:line="288" w:lineRule="auto"/>
        <w:jc w:val="both"/>
        <w:rPr>
          <w:rFonts w:ascii="Aptos" w:eastAsia="Times New Roman" w:hAnsi="Aptos" w:cs="Times New Roman"/>
          <w:color w:val="002060"/>
        </w:rPr>
      </w:pPr>
    </w:p>
    <w:p w14:paraId="519ED151" w14:textId="77777777" w:rsidR="00765CDF" w:rsidRPr="00765CDF" w:rsidRDefault="00765CDF" w:rsidP="00765CDF">
      <w:pPr>
        <w:spacing w:after="100" w:afterAutospacing="1" w:line="288" w:lineRule="auto"/>
        <w:jc w:val="both"/>
        <w:outlineLvl w:val="1"/>
        <w:rPr>
          <w:rFonts w:ascii="Aptos" w:eastAsia="Times New Roman" w:hAnsi="Aptos" w:cs="Arial"/>
          <w:b/>
          <w:bCs/>
          <w:i/>
          <w:iCs/>
          <w:color w:val="002060"/>
        </w:rPr>
      </w:pPr>
      <w:bookmarkStart w:id="201" w:name="_Toc216965796"/>
      <w:r w:rsidRPr="00765CDF">
        <w:rPr>
          <w:rFonts w:ascii="Aptos" w:eastAsia="Times New Roman" w:hAnsi="Aptos" w:cs="Arial"/>
          <w:b/>
          <w:bCs/>
          <w:i/>
          <w:iCs/>
          <w:color w:val="002060"/>
        </w:rPr>
        <w:t>As many as 23 commercial banks have registered to join the program.</w:t>
      </w:r>
      <w:bookmarkEnd w:id="201"/>
    </w:p>
    <w:p w14:paraId="6F64511A"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 xml:space="preserve">As many as 23 commercial banks have registered to join a large-scale credit program worth up to </w:t>
      </w:r>
      <w:proofErr w:type="spellStart"/>
      <w:r w:rsidRPr="00765CDF">
        <w:rPr>
          <w:rFonts w:ascii="Aptos" w:eastAsia="Times New Roman" w:hAnsi="Aptos" w:cs="Arial"/>
          <w:color w:val="002060"/>
        </w:rPr>
        <w:t>VND500</w:t>
      </w:r>
      <w:proofErr w:type="spellEnd"/>
      <w:r w:rsidRPr="00765CDF">
        <w:rPr>
          <w:rFonts w:ascii="Aptos" w:eastAsia="Times New Roman" w:hAnsi="Aptos" w:cs="Arial"/>
          <w:color w:val="002060"/>
        </w:rPr>
        <w:t xml:space="preserve"> trillion ($19 billion) to support investments in power infrastructure, transport and strategic technology projects, according to the State Bank of Vietnam.</w:t>
      </w:r>
    </w:p>
    <w:p w14:paraId="768851F8"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The program will run until the end of 2030 or until the full lending target is reached.</w:t>
      </w:r>
    </w:p>
    <w:p w14:paraId="66BD9D4A"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Participating banks have committed to offering preferential loans with interest rates at least 1–1.5 percentage points per year lower than prevailing market averages.</w:t>
      </w:r>
    </w:p>
    <w:p w14:paraId="13480603"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 xml:space="preserve">The credit package will be implemented in two phases. In the first phase, from 2025 to 2026, commercial banks are expected to disburse about </w:t>
      </w:r>
      <w:proofErr w:type="spellStart"/>
      <w:r w:rsidRPr="00765CDF">
        <w:rPr>
          <w:rFonts w:ascii="Aptos" w:eastAsia="Times New Roman" w:hAnsi="Aptos" w:cs="Arial"/>
          <w:color w:val="002060"/>
        </w:rPr>
        <w:t>VND100</w:t>
      </w:r>
      <w:proofErr w:type="spellEnd"/>
      <w:r w:rsidRPr="00765CDF">
        <w:rPr>
          <w:rFonts w:ascii="Aptos" w:eastAsia="Times New Roman" w:hAnsi="Aptos" w:cs="Arial"/>
          <w:color w:val="002060"/>
        </w:rPr>
        <w:t xml:space="preserve"> trillion, equivalent to roughly 20% of the total package, to eligible projects. During the second phase, from 2027 to 2030, the remaining capital will be gradually released, ensuring that lending does not exceed each bank’s committed quota.</w:t>
      </w:r>
    </w:p>
    <w:p w14:paraId="4D1B6AAB"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Eligible borrowers are enterprises seeking long-term loans to invest in nationally important and key projects in the power, transport and strategic technology sectors. Project lists will be provided by relevant ministries.</w:t>
      </w:r>
    </w:p>
    <w:p w14:paraId="1BC13B8C" w14:textId="77777777" w:rsidR="000D1404" w:rsidRDefault="000D1404" w:rsidP="00360994">
      <w:pPr>
        <w:spacing w:line="288" w:lineRule="auto"/>
        <w:jc w:val="right"/>
        <w:rPr>
          <w:rStyle w:val="Hyperlink"/>
          <w:rFonts w:ascii="Aptos" w:eastAsia="Malgun Gothic" w:hAnsi="Aptos" w:cs="Times New Roman"/>
          <w:color w:val="002060"/>
        </w:rPr>
      </w:pPr>
    </w:p>
    <w:p w14:paraId="1A24873C" w14:textId="77777777" w:rsidR="003E0394" w:rsidRPr="004C6CBE" w:rsidRDefault="00EF600B"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2" w:name="_Toc186722691"/>
      <w:bookmarkStart w:id="203" w:name="_Toc187326017"/>
      <w:bookmarkStart w:id="204" w:name="_Toc187919317"/>
      <w:bookmarkStart w:id="205" w:name="_Toc188519309"/>
      <w:bookmarkStart w:id="206" w:name="_Toc189746399"/>
      <w:bookmarkStart w:id="207" w:name="_Toc190348424"/>
      <w:bookmarkStart w:id="208" w:name="_Toc190954008"/>
      <w:bookmarkStart w:id="209" w:name="_Toc191559693"/>
      <w:bookmarkStart w:id="210" w:name="_Toc192153145"/>
      <w:bookmarkStart w:id="211" w:name="_Toc192767030"/>
      <w:bookmarkStart w:id="212" w:name="_Toc193361537"/>
      <w:bookmarkStart w:id="213" w:name="_Toc193977729"/>
      <w:bookmarkStart w:id="214" w:name="_Toc194671393"/>
      <w:bookmarkStart w:id="215" w:name="_Toc195192224"/>
      <w:bookmarkStart w:id="216" w:name="_Toc195795569"/>
      <w:bookmarkStart w:id="217" w:name="_Toc196395797"/>
      <w:bookmarkStart w:id="218" w:name="_Toc197596758"/>
      <w:bookmarkStart w:id="219" w:name="_Toc198210641"/>
      <w:bookmarkStart w:id="220" w:name="_Toc198816026"/>
      <w:bookmarkStart w:id="221" w:name="_Toc199419424"/>
      <w:bookmarkStart w:id="222" w:name="_Toc200013593"/>
      <w:bookmarkStart w:id="223" w:name="_Toc200628572"/>
      <w:bookmarkStart w:id="224" w:name="_Toc201837355"/>
      <w:bookmarkStart w:id="225" w:name="_Toc202445690"/>
      <w:bookmarkStart w:id="226" w:name="_Toc203047555"/>
      <w:bookmarkStart w:id="227" w:name="_Toc203655860"/>
      <w:bookmarkStart w:id="228" w:name="_Toc204262797"/>
      <w:bookmarkStart w:id="229" w:name="_Toc204862956"/>
      <w:bookmarkStart w:id="230" w:name="_Toc205466583"/>
      <w:bookmarkStart w:id="231" w:name="_Toc206074502"/>
      <w:bookmarkStart w:id="232" w:name="_Toc207184395"/>
      <w:bookmarkStart w:id="233" w:name="_Toc207888598"/>
      <w:bookmarkStart w:id="234" w:name="_Toc208493622"/>
      <w:bookmarkStart w:id="235" w:name="_Toc208493700"/>
      <w:bookmarkStart w:id="236" w:name="_Toc209099445"/>
      <w:bookmarkStart w:id="237" w:name="_Toc209702674"/>
      <w:bookmarkStart w:id="238" w:name="_Toc210305238"/>
      <w:bookmarkStart w:id="239" w:name="_Toc210911914"/>
      <w:bookmarkStart w:id="240" w:name="_Toc210912006"/>
      <w:bookmarkStart w:id="241" w:name="_Toc211518239"/>
      <w:bookmarkStart w:id="242" w:name="_Toc212118919"/>
      <w:bookmarkStart w:id="243" w:name="_Toc212726912"/>
      <w:bookmarkStart w:id="244" w:name="_Toc213334249"/>
      <w:bookmarkStart w:id="245" w:name="_Toc213924599"/>
    </w:p>
    <w:p w14:paraId="5BEE464F" w14:textId="1272DA87" w:rsidR="00E277D4" w:rsidRDefault="00FE778B" w:rsidP="003B61BC">
      <w:pPr>
        <w:pStyle w:val="Heading1"/>
        <w:shd w:val="clear" w:color="auto" w:fill="FFFFFF"/>
        <w:spacing w:before="0" w:line="288" w:lineRule="atLeast"/>
        <w:rPr>
          <w:rFonts w:ascii="Aptos" w:eastAsia="Malgun Gothic" w:hAnsi="Aptos" w:cs="Times New Roman"/>
          <w:color w:val="002060"/>
        </w:rPr>
      </w:pPr>
      <w:bookmarkStart w:id="246" w:name="_Toc214539941"/>
      <w:bookmarkStart w:id="247" w:name="_Toc215144377"/>
      <w:bookmarkStart w:id="248" w:name="_Toc215750954"/>
      <w:bookmarkStart w:id="249" w:name="_Toc216355050"/>
      <w:bookmarkStart w:id="250" w:name="_Toc216965797"/>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51" w:name="_Toc372277036"/>
      <w:bookmarkStart w:id="252" w:name="_Toc372881662"/>
      <w:bookmarkStart w:id="253" w:name="_Toc373484630"/>
      <w:bookmarkStart w:id="254" w:name="_Toc374089641"/>
      <w:bookmarkStart w:id="255" w:name="_Toc374695753"/>
      <w:bookmarkStart w:id="256" w:name="_Toc375297865"/>
      <w:bookmarkStart w:id="257" w:name="_Toc375903285"/>
      <w:bookmarkStart w:id="258" w:name="_Toc376510600"/>
      <w:bookmarkStart w:id="259" w:name="_Toc377114107"/>
      <w:bookmarkStart w:id="260" w:name="_Toc377720877"/>
      <w:bookmarkStart w:id="261" w:name="_Toc378323090"/>
      <w:bookmarkStart w:id="262" w:name="_Toc379533627"/>
      <w:bookmarkStart w:id="263" w:name="_Toc380136921"/>
      <w:bookmarkStart w:id="264" w:name="_Toc380744470"/>
      <w:bookmarkStart w:id="265" w:name="_Toc381349390"/>
      <w:bookmarkStart w:id="266" w:name="_Toc381952740"/>
      <w:bookmarkStart w:id="267" w:name="_Toc382557146"/>
      <w:bookmarkStart w:id="268" w:name="_Toc383161642"/>
      <w:bookmarkStart w:id="269" w:name="_Toc383767069"/>
      <w:bookmarkStart w:id="270" w:name="_Toc384372106"/>
      <w:bookmarkStart w:id="271" w:name="_Toc384976538"/>
      <w:bookmarkStart w:id="272" w:name="_Toc385581149"/>
      <w:bookmarkStart w:id="273" w:name="_Toc386187311"/>
      <w:bookmarkStart w:id="274" w:name="_Toc387396227"/>
      <w:bookmarkStart w:id="275" w:name="_Toc388000659"/>
      <w:bookmarkStart w:id="276" w:name="_Toc388604987"/>
      <w:bookmarkStart w:id="277" w:name="_Toc389209518"/>
      <w:bookmarkStart w:id="278" w:name="_Toc389815749"/>
      <w:bookmarkStart w:id="279" w:name="_Toc390418758"/>
      <w:bookmarkStart w:id="280" w:name="_Toc391026118"/>
      <w:bookmarkStart w:id="281" w:name="_Toc392233738"/>
      <w:bookmarkStart w:id="282" w:name="_Toc392837336"/>
      <w:bookmarkStart w:id="283" w:name="_Toc394048499"/>
      <w:bookmarkStart w:id="284" w:name="_Toc394651767"/>
      <w:bookmarkStart w:id="285" w:name="_Toc395258652"/>
      <w:bookmarkStart w:id="286" w:name="_Toc395862292"/>
      <w:bookmarkStart w:id="287" w:name="_Toc396467104"/>
      <w:bookmarkStart w:id="288" w:name="_Toc397074774"/>
      <w:bookmarkStart w:id="289" w:name="_Toc397679397"/>
      <w:bookmarkStart w:id="290" w:name="_Toc398281793"/>
      <w:bookmarkStart w:id="291" w:name="_Toc398887280"/>
      <w:bookmarkStart w:id="292" w:name="_Toc399492492"/>
      <w:bookmarkStart w:id="293" w:name="_Toc400096557"/>
      <w:bookmarkStart w:id="294" w:name="_Toc400699355"/>
      <w:bookmarkStart w:id="295" w:name="_Toc401908571"/>
      <w:bookmarkStart w:id="296" w:name="_Toc402514113"/>
      <w:bookmarkStart w:id="297" w:name="_Toc403119468"/>
      <w:bookmarkStart w:id="298" w:name="_Toc403725573"/>
      <w:bookmarkStart w:id="299" w:name="_Toc404332237"/>
      <w:bookmarkStart w:id="300" w:name="_Toc404935397"/>
      <w:bookmarkStart w:id="301" w:name="_Toc405540230"/>
      <w:bookmarkStart w:id="302" w:name="_Toc406144907"/>
      <w:bookmarkStart w:id="303" w:name="_Toc406680256"/>
      <w:bookmarkStart w:id="304" w:name="_Toc407350896"/>
      <w:bookmarkStart w:id="305" w:name="_Toc408564576"/>
      <w:bookmarkStart w:id="306" w:name="_Toc409169007"/>
      <w:bookmarkStart w:id="307" w:name="_Toc409774757"/>
      <w:bookmarkStart w:id="308" w:name="_Toc410380506"/>
      <w:bookmarkStart w:id="309" w:name="_Toc410982170"/>
      <w:bookmarkStart w:id="310" w:name="_Toc411587715"/>
      <w:bookmarkStart w:id="311" w:name="_Toc412798936"/>
      <w:bookmarkStart w:id="312" w:name="_Toc413401078"/>
      <w:bookmarkStart w:id="313" w:name="_Toc414005850"/>
      <w:bookmarkStart w:id="314" w:name="_Toc415215509"/>
      <w:bookmarkStart w:id="315" w:name="_Toc415827057"/>
      <w:bookmarkStart w:id="316" w:name="_Toc416423737"/>
      <w:bookmarkStart w:id="317" w:name="_Toc417031184"/>
      <w:bookmarkStart w:id="318" w:name="_Toc417634610"/>
      <w:bookmarkStart w:id="319" w:name="_Toc418844126"/>
      <w:bookmarkStart w:id="320" w:name="_Toc419450432"/>
      <w:bookmarkStart w:id="321" w:name="_Toc420056735"/>
      <w:bookmarkStart w:id="322" w:name="_Toc420661557"/>
      <w:bookmarkStart w:id="323" w:name="_Toc421264723"/>
      <w:bookmarkStart w:id="324" w:name="_Toc421871471"/>
      <w:bookmarkStart w:id="325" w:name="_Toc422473458"/>
      <w:bookmarkStart w:id="326" w:name="_Toc423078376"/>
      <w:bookmarkStart w:id="327" w:name="_Toc423682216"/>
      <w:bookmarkStart w:id="328" w:name="_Toc424301013"/>
      <w:bookmarkStart w:id="329" w:name="_Toc424891971"/>
      <w:bookmarkStart w:id="330" w:name="_Toc425495589"/>
      <w:bookmarkStart w:id="331" w:name="_Toc426104624"/>
      <w:bookmarkStart w:id="332" w:name="_Toc426707573"/>
      <w:bookmarkStart w:id="333" w:name="_Toc427312143"/>
      <w:bookmarkStart w:id="334" w:name="_Toc427915952"/>
      <w:bookmarkStart w:id="335" w:name="_Toc428523125"/>
      <w:bookmarkStart w:id="336" w:name="_Toc429732374"/>
      <w:bookmarkStart w:id="337" w:name="_Toc430335764"/>
      <w:bookmarkStart w:id="338" w:name="_Toc430941475"/>
      <w:bookmarkStart w:id="339" w:name="_Toc431546386"/>
      <w:bookmarkStart w:id="340" w:name="_Toc432151519"/>
      <w:bookmarkStart w:id="341" w:name="_Toc432755903"/>
      <w:bookmarkStart w:id="342" w:name="_Toc433361375"/>
      <w:bookmarkStart w:id="343" w:name="_Toc433965274"/>
      <w:bookmarkStart w:id="344" w:name="_Toc434571313"/>
      <w:bookmarkStart w:id="345" w:name="_Toc435172620"/>
      <w:bookmarkStart w:id="346" w:name="_Toc435779446"/>
      <w:bookmarkStart w:id="347" w:name="_Toc436380886"/>
      <w:bookmarkStart w:id="348" w:name="_Toc436991375"/>
      <w:bookmarkStart w:id="349" w:name="_Toc437595397"/>
      <w:bookmarkStart w:id="350" w:name="_Toc440013651"/>
      <w:bookmarkStart w:id="351" w:name="_Toc440621863"/>
      <w:bookmarkStart w:id="352" w:name="_Toc441223773"/>
      <w:bookmarkStart w:id="353" w:name="_Toc441828297"/>
      <w:bookmarkStart w:id="354" w:name="_Toc441828392"/>
      <w:bookmarkStart w:id="355" w:name="_Toc442344474"/>
      <w:bookmarkStart w:id="356" w:name="_Toc443643405"/>
      <w:bookmarkStart w:id="357" w:name="_Toc444246117"/>
      <w:bookmarkStart w:id="358" w:name="_Toc444852040"/>
      <w:bookmarkStart w:id="359" w:name="_Toc445456100"/>
      <w:bookmarkStart w:id="360" w:name="_Toc445973466"/>
      <w:bookmarkStart w:id="361" w:name="_Toc446664819"/>
      <w:bookmarkStart w:id="362" w:name="_Toc447269370"/>
      <w:bookmarkStart w:id="363" w:name="_Toc447874146"/>
      <w:bookmarkStart w:id="364" w:name="_Toc448482075"/>
      <w:bookmarkStart w:id="365" w:name="_Toc449082184"/>
      <w:bookmarkStart w:id="366" w:name="_Toc449689087"/>
      <w:bookmarkStart w:id="367" w:name="_Toc450293025"/>
      <w:bookmarkStart w:id="368" w:name="_Toc450896937"/>
      <w:bookmarkStart w:id="369" w:name="_Toc452625636"/>
      <w:bookmarkStart w:id="370" w:name="_Toc453317631"/>
      <w:bookmarkStart w:id="371" w:name="_Toc453921135"/>
      <w:bookmarkStart w:id="372" w:name="_Toc454525839"/>
      <w:bookmarkStart w:id="373" w:name="_Toc455664215"/>
      <w:bookmarkStart w:id="374" w:name="_Toc456342930"/>
      <w:bookmarkStart w:id="375" w:name="_Toc456948587"/>
      <w:bookmarkStart w:id="376" w:name="_Toc457551647"/>
      <w:bookmarkStart w:id="377" w:name="_Toc458760434"/>
      <w:bookmarkStart w:id="378" w:name="_Toc459970957"/>
      <w:bookmarkStart w:id="379" w:name="_Toc460493834"/>
      <w:bookmarkStart w:id="380" w:name="_Toc461091254"/>
      <w:bookmarkStart w:id="381" w:name="_Toc461785959"/>
      <w:bookmarkStart w:id="382" w:name="_Toc462393212"/>
      <w:bookmarkStart w:id="383" w:name="_Toc462996387"/>
      <w:bookmarkStart w:id="384" w:name="_Toc463600469"/>
      <w:bookmarkStart w:id="385" w:name="_Toc464205355"/>
      <w:bookmarkStart w:id="386" w:name="_Toc464808167"/>
      <w:bookmarkStart w:id="387" w:name="_Toc465341587"/>
      <w:bookmarkStart w:id="388" w:name="_Toc466017253"/>
      <w:bookmarkStart w:id="389" w:name="_Toc466625781"/>
      <w:bookmarkStart w:id="390" w:name="_Toc467231583"/>
      <w:bookmarkStart w:id="391" w:name="_Toc467832923"/>
      <w:bookmarkStart w:id="392" w:name="_Toc468440608"/>
      <w:bookmarkStart w:id="393" w:name="_Toc469043511"/>
      <w:bookmarkStart w:id="394" w:name="_Toc469650540"/>
      <w:bookmarkStart w:id="395" w:name="_Toc472071552"/>
      <w:bookmarkStart w:id="396" w:name="_Toc472672618"/>
      <w:bookmarkStart w:id="397" w:name="_Toc473881014"/>
      <w:bookmarkStart w:id="398" w:name="_Toc474487611"/>
      <w:bookmarkStart w:id="399" w:name="_Toc475090266"/>
      <w:bookmarkStart w:id="400" w:name="_Toc475697891"/>
      <w:bookmarkStart w:id="401" w:name="_Toc476302017"/>
      <w:bookmarkStart w:id="402" w:name="_Toc476906658"/>
      <w:bookmarkStart w:id="403" w:name="_Toc477510747"/>
      <w:bookmarkStart w:id="404" w:name="_Toc478116119"/>
      <w:bookmarkStart w:id="405" w:name="_Toc478723293"/>
      <w:bookmarkStart w:id="406" w:name="_Toc479329710"/>
      <w:bookmarkStart w:id="407" w:name="_Toc479930325"/>
      <w:bookmarkStart w:id="408" w:name="_Toc480539769"/>
      <w:bookmarkStart w:id="409" w:name="_Toc481139996"/>
      <w:bookmarkStart w:id="410" w:name="_Toc482351755"/>
      <w:bookmarkStart w:id="411" w:name="_Toc482956632"/>
      <w:bookmarkStart w:id="412" w:name="_Toc484166265"/>
      <w:bookmarkStart w:id="413" w:name="_Toc484769034"/>
      <w:bookmarkStart w:id="414" w:name="_Toc485286963"/>
      <w:bookmarkStart w:id="415" w:name="_Toc485978047"/>
      <w:bookmarkStart w:id="416" w:name="_Toc486585200"/>
      <w:bookmarkStart w:id="417" w:name="_Toc487190849"/>
      <w:bookmarkStart w:id="418" w:name="_Toc487793128"/>
      <w:bookmarkStart w:id="419" w:name="_Toc488396105"/>
      <w:bookmarkStart w:id="420" w:name="_Toc489005356"/>
      <w:bookmarkStart w:id="421" w:name="_Toc489606922"/>
      <w:bookmarkStart w:id="422" w:name="_Toc490213904"/>
      <w:bookmarkStart w:id="423" w:name="_Toc490819129"/>
      <w:bookmarkStart w:id="424" w:name="_Toc491423492"/>
      <w:bookmarkStart w:id="425" w:name="_Toc492024941"/>
      <w:bookmarkStart w:id="426" w:name="_Toc492631836"/>
      <w:bookmarkStart w:id="427" w:name="_Toc493236264"/>
      <w:bookmarkStart w:id="428" w:name="_Toc493837670"/>
      <w:bookmarkStart w:id="429" w:name="_Toc495050076"/>
      <w:bookmarkStart w:id="430" w:name="_Toc495652582"/>
      <w:bookmarkStart w:id="431" w:name="_Toc496261433"/>
      <w:bookmarkStart w:id="432" w:name="_Toc496867228"/>
      <w:bookmarkStart w:id="433" w:name="_Toc497465791"/>
      <w:bookmarkStart w:id="434" w:name="_Toc498081893"/>
      <w:bookmarkStart w:id="435" w:name="_Toc498682150"/>
      <w:bookmarkStart w:id="436" w:name="_Toc499287549"/>
      <w:bookmarkStart w:id="437" w:name="_Toc499891990"/>
      <w:bookmarkStart w:id="438" w:name="_Toc500496789"/>
      <w:bookmarkStart w:id="439" w:name="_Toc501099734"/>
      <w:bookmarkStart w:id="440" w:name="_Toc501705017"/>
      <w:bookmarkStart w:id="441" w:name="_Toc532560719"/>
      <w:bookmarkStart w:id="442" w:name="_Toc533156844"/>
      <w:bookmarkStart w:id="443" w:name="_Toc533775399"/>
      <w:bookmarkStart w:id="444" w:name="_Toc534372207"/>
      <w:bookmarkStart w:id="445" w:name="_Toc534972008"/>
      <w:bookmarkStart w:id="446" w:name="_Toc535582780"/>
      <w:bookmarkStart w:id="447" w:name="_Toc536187102"/>
      <w:bookmarkStart w:id="448" w:name="_Toc536785388"/>
      <w:bookmarkStart w:id="449" w:name="_Toc1130208"/>
      <w:bookmarkStart w:id="450" w:name="_Toc1727979"/>
      <w:bookmarkStart w:id="451" w:name="_Toc2333094"/>
      <w:bookmarkStart w:id="452" w:name="_Toc2937884"/>
      <w:bookmarkStart w:id="453" w:name="_Toc3543094"/>
      <w:bookmarkStart w:id="454" w:name="_Toc4146388"/>
      <w:bookmarkStart w:id="455" w:name="_Toc4758756"/>
      <w:bookmarkStart w:id="456" w:name="_Toc5357724"/>
      <w:bookmarkStart w:id="457" w:name="_Toc5961962"/>
      <w:bookmarkStart w:id="458" w:name="_Toc6565236"/>
      <w:bookmarkStart w:id="459" w:name="_Toc7172941"/>
      <w:bookmarkStart w:id="460" w:name="_Toc7776782"/>
      <w:bookmarkStart w:id="461" w:name="_Toc8385532"/>
      <w:bookmarkStart w:id="462" w:name="_Toc8986688"/>
      <w:bookmarkStart w:id="463" w:name="_Toc9591439"/>
      <w:bookmarkStart w:id="464" w:name="_Toc10800776"/>
      <w:bookmarkStart w:id="465" w:name="_Toc11403497"/>
      <w:bookmarkStart w:id="466" w:name="_Toc12010882"/>
      <w:bookmarkStart w:id="467" w:name="_Toc12614882"/>
      <w:bookmarkStart w:id="468" w:name="_Toc13219381"/>
      <w:bookmarkStart w:id="469" w:name="_Toc13830731"/>
      <w:bookmarkStart w:id="470" w:name="_Toc14429410"/>
      <w:bookmarkStart w:id="471" w:name="_Toc15034919"/>
      <w:bookmarkStart w:id="472" w:name="_Toc15638234"/>
      <w:bookmarkStart w:id="473" w:name="_Toc16243813"/>
      <w:bookmarkStart w:id="474" w:name="_Toc17453989"/>
      <w:bookmarkStart w:id="475" w:name="_Toc18058957"/>
      <w:bookmarkStart w:id="476" w:name="_Toc18664185"/>
      <w:bookmarkStart w:id="477" w:name="_Toc19268589"/>
      <w:bookmarkStart w:id="478" w:name="_Toc19868194"/>
      <w:bookmarkStart w:id="479" w:name="_Toc20476476"/>
      <w:bookmarkStart w:id="480" w:name="_Toc21082712"/>
      <w:bookmarkStart w:id="481" w:name="_Toc21596842"/>
      <w:bookmarkStart w:id="482" w:name="_Toc22292243"/>
      <w:bookmarkStart w:id="483" w:name="_Toc22902068"/>
      <w:bookmarkStart w:id="484" w:name="_Toc23500781"/>
      <w:bookmarkStart w:id="485" w:name="_Toc24106263"/>
      <w:bookmarkStart w:id="486" w:name="_Toc24708409"/>
      <w:bookmarkStart w:id="487" w:name="_Toc25235410"/>
      <w:bookmarkStart w:id="488" w:name="_Toc25920237"/>
      <w:bookmarkStart w:id="489" w:name="_Toc26524512"/>
      <w:bookmarkStart w:id="490" w:name="_Toc27130353"/>
      <w:bookmarkStart w:id="491" w:name="_Toc28949352"/>
      <w:bookmarkStart w:id="492" w:name="_Toc29553156"/>
      <w:bookmarkStart w:id="493" w:name="_Toc31365279"/>
      <w:bookmarkStart w:id="494" w:name="_Toc31968685"/>
      <w:bookmarkStart w:id="495" w:name="_Toc33177775"/>
      <w:bookmarkStart w:id="496" w:name="_Toc33784200"/>
      <w:bookmarkStart w:id="497" w:name="_Toc34387335"/>
      <w:bookmarkStart w:id="498" w:name="_Toc34992445"/>
      <w:bookmarkStart w:id="499" w:name="_Toc36200892"/>
      <w:bookmarkStart w:id="500" w:name="_Toc36804861"/>
      <w:bookmarkStart w:id="501" w:name="_Toc37412094"/>
      <w:bookmarkStart w:id="502" w:name="_Toc38016888"/>
      <w:bookmarkStart w:id="503" w:name="_Toc38623239"/>
      <w:bookmarkStart w:id="504" w:name="_Toc47007107"/>
      <w:bookmarkStart w:id="505" w:name="_Toc47608050"/>
      <w:bookmarkStart w:id="506" w:name="_Toc48219506"/>
      <w:bookmarkStart w:id="507" w:name="_Toc48816707"/>
      <w:bookmarkStart w:id="508" w:name="_Toc49427952"/>
      <w:bookmarkStart w:id="509" w:name="_Toc50027099"/>
      <w:bookmarkStart w:id="510" w:name="_Toc50638510"/>
      <w:bookmarkStart w:id="511" w:name="_Toc51235700"/>
      <w:bookmarkStart w:id="512" w:name="_Toc51848402"/>
      <w:bookmarkStart w:id="513" w:name="_Toc52453551"/>
      <w:bookmarkStart w:id="514" w:name="_Toc53055803"/>
      <w:bookmarkStart w:id="515" w:name="_Toc53660724"/>
      <w:bookmarkStart w:id="516" w:name="_Toc54259223"/>
      <w:bookmarkStart w:id="517" w:name="_Toc54865636"/>
      <w:bookmarkStart w:id="518" w:name="_Toc55477667"/>
      <w:bookmarkStart w:id="519" w:name="_Toc56073555"/>
      <w:bookmarkStart w:id="520" w:name="_Toc56678763"/>
      <w:bookmarkStart w:id="521" w:name="_Toc57284472"/>
      <w:bookmarkStart w:id="522" w:name="_Toc57895622"/>
      <w:bookmarkStart w:id="523" w:name="_Toc58494288"/>
      <w:bookmarkStart w:id="524" w:name="_Toc59104490"/>
      <w:bookmarkStart w:id="525" w:name="_Toc60922248"/>
      <w:bookmarkStart w:id="526" w:name="_Toc61518216"/>
      <w:bookmarkStart w:id="527" w:name="_Toc62129059"/>
      <w:bookmarkStart w:id="528" w:name="_Toc62734938"/>
      <w:bookmarkStart w:id="529" w:name="_Toc63333213"/>
      <w:bookmarkStart w:id="530" w:name="_Toc65152050"/>
      <w:bookmarkStart w:id="531" w:name="_Toc65759402"/>
      <w:bookmarkStart w:id="532" w:name="_Toc66363540"/>
      <w:bookmarkStart w:id="533" w:name="_Toc66960047"/>
      <w:bookmarkStart w:id="534" w:name="_Toc67652144"/>
      <w:bookmarkStart w:id="535" w:name="_Toc68179920"/>
      <w:bookmarkStart w:id="536" w:name="_Toc68774147"/>
      <w:bookmarkStart w:id="537" w:name="_Toc69386915"/>
      <w:bookmarkStart w:id="538" w:name="_Toc69991769"/>
      <w:bookmarkStart w:id="539" w:name="_Toc70509841"/>
      <w:bookmarkStart w:id="540" w:name="_Toc71207395"/>
      <w:bookmarkStart w:id="541" w:name="_Toc71799306"/>
      <w:bookmarkStart w:id="542" w:name="_Toc72414975"/>
      <w:bookmarkStart w:id="543" w:name="_Toc73015454"/>
      <w:bookmarkStart w:id="544" w:name="_Toc73618178"/>
      <w:bookmarkStart w:id="545" w:name="_Toc74224512"/>
      <w:bookmarkStart w:id="546" w:name="_Toc74836030"/>
      <w:bookmarkStart w:id="547" w:name="_Toc75439623"/>
      <w:bookmarkStart w:id="548" w:name="_Toc76033389"/>
      <w:bookmarkStart w:id="549" w:name="_Toc76568184"/>
      <w:bookmarkStart w:id="550" w:name="_Toc77249823"/>
      <w:bookmarkStart w:id="551" w:name="_Toc77848118"/>
      <w:bookmarkStart w:id="552" w:name="_Toc78458401"/>
      <w:bookmarkStart w:id="553" w:name="_Toc79065737"/>
      <w:bookmarkStart w:id="554" w:name="_Toc79674827"/>
      <w:bookmarkStart w:id="555" w:name="_Toc80967353"/>
      <w:bookmarkStart w:id="556" w:name="_Toc82098803"/>
      <w:bookmarkStart w:id="557" w:name="_Toc82697204"/>
      <w:bookmarkStart w:id="558" w:name="_Toc83296668"/>
      <w:bookmarkStart w:id="559" w:name="_Toc83896627"/>
      <w:bookmarkStart w:id="560" w:name="_Toc84511070"/>
      <w:bookmarkStart w:id="561" w:name="_Toc85126355"/>
      <w:bookmarkStart w:id="562" w:name="_Toc85726062"/>
      <w:bookmarkStart w:id="563" w:name="_Toc86326951"/>
      <w:bookmarkStart w:id="564" w:name="_Toc86928725"/>
      <w:bookmarkStart w:id="565" w:name="_Toc87533864"/>
      <w:bookmarkStart w:id="566" w:name="_Toc88139975"/>
      <w:bookmarkStart w:id="567" w:name="_Toc88827424"/>
      <w:bookmarkStart w:id="568" w:name="_Toc89348597"/>
      <w:bookmarkStart w:id="569" w:name="_Toc89954358"/>
      <w:bookmarkStart w:id="570" w:name="_Toc90547129"/>
      <w:bookmarkStart w:id="571" w:name="_Toc91162877"/>
      <w:bookmarkStart w:id="572" w:name="_Toc92977891"/>
      <w:bookmarkStart w:id="573" w:name="_Toc93582834"/>
      <w:bookmarkStart w:id="574" w:name="_Toc94185876"/>
      <w:bookmarkStart w:id="575" w:name="_Toc124758941"/>
      <w:bookmarkStart w:id="576" w:name="_Toc126243198"/>
      <w:bookmarkStart w:id="577" w:name="_Toc126844373"/>
      <w:bookmarkStart w:id="578" w:name="_Toc127449235"/>
      <w:bookmarkStart w:id="579" w:name="_Toc128057345"/>
      <w:bookmarkStart w:id="580" w:name="_Toc128657897"/>
      <w:bookmarkStart w:id="581" w:name="_Toc129265043"/>
      <w:bookmarkStart w:id="582" w:name="_Toc129869285"/>
      <w:bookmarkStart w:id="583" w:name="_Toc130472589"/>
      <w:bookmarkStart w:id="584" w:name="_Toc131080428"/>
      <w:bookmarkStart w:id="585" w:name="_Toc131684261"/>
      <w:bookmarkStart w:id="586" w:name="_Toc132288737"/>
      <w:bookmarkStart w:id="587" w:name="_Toc132880394"/>
      <w:bookmarkStart w:id="588" w:name="_Toc133498212"/>
      <w:bookmarkStart w:id="589" w:name="_Toc134108008"/>
      <w:bookmarkStart w:id="590" w:name="_Toc134709546"/>
      <w:bookmarkStart w:id="591" w:name="_Toc134709697"/>
      <w:bookmarkStart w:id="592" w:name="_Toc135315971"/>
      <w:bookmarkStart w:id="593" w:name="_Toc135915560"/>
      <w:bookmarkStart w:id="594" w:name="_Toc136526488"/>
      <w:bookmarkStart w:id="595" w:name="_Toc137126048"/>
      <w:bookmarkStart w:id="596" w:name="_Toc137733673"/>
      <w:bookmarkStart w:id="597" w:name="_Toc138336639"/>
      <w:bookmarkStart w:id="598" w:name="_Toc138940624"/>
      <w:bookmarkStart w:id="599" w:name="_Toc139544020"/>
      <w:bookmarkStart w:id="600" w:name="_Toc140151831"/>
      <w:bookmarkStart w:id="601" w:name="_Toc140757908"/>
      <w:bookmarkStart w:id="602" w:name="_Toc141359485"/>
      <w:bookmarkStart w:id="603" w:name="_Toc141965597"/>
      <w:bookmarkStart w:id="604" w:name="_Toc142569946"/>
      <w:bookmarkStart w:id="605" w:name="_Toc143175000"/>
      <w:bookmarkStart w:id="606" w:name="_Toc143779701"/>
      <w:bookmarkStart w:id="607" w:name="_Toc144384328"/>
      <w:bookmarkStart w:id="608" w:name="_Toc144991140"/>
      <w:bookmarkStart w:id="609" w:name="_Toc145601270"/>
      <w:bookmarkStart w:id="610" w:name="_Toc146205291"/>
      <w:bookmarkStart w:id="611" w:name="_Toc146808598"/>
      <w:bookmarkStart w:id="612" w:name="_Toc147412055"/>
      <w:bookmarkStart w:id="613" w:name="_Toc148007939"/>
      <w:bookmarkStart w:id="614" w:name="_Toc148621870"/>
      <w:bookmarkStart w:id="615" w:name="_Toc149228680"/>
      <w:bookmarkStart w:id="616" w:name="_Toc149826953"/>
      <w:bookmarkStart w:id="617" w:name="_Toc150433299"/>
      <w:bookmarkStart w:id="618" w:name="_Toc151040597"/>
      <w:bookmarkStart w:id="619" w:name="_Toc151645174"/>
      <w:bookmarkStart w:id="620" w:name="_Toc152248763"/>
      <w:bookmarkStart w:id="621" w:name="_Toc153458086"/>
      <w:bookmarkStart w:id="622" w:name="_Toc154061703"/>
      <w:bookmarkStart w:id="623" w:name="_Toc185497336"/>
      <w:bookmarkStart w:id="624" w:name="_Toc186722696"/>
      <w:bookmarkStart w:id="625" w:name="_Toc187326020"/>
      <w:bookmarkStart w:id="626" w:name="_Toc187919320"/>
      <w:bookmarkStart w:id="627" w:name="_Toc188519313"/>
      <w:bookmarkStart w:id="628" w:name="_Toc189746404"/>
      <w:bookmarkStart w:id="629" w:name="_Toc190348428"/>
      <w:bookmarkStart w:id="630" w:name="_Toc190954013"/>
      <w:bookmarkStart w:id="631" w:name="_Toc191559698"/>
      <w:bookmarkStart w:id="632"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D973BA5" w14:textId="77777777" w:rsidR="00753EB5" w:rsidRPr="00753EB5" w:rsidRDefault="00753EB5" w:rsidP="00753EB5"/>
    <w:p w14:paraId="72DD6465" w14:textId="77777777" w:rsidR="00753EB5" w:rsidRPr="00753EB5" w:rsidRDefault="00753EB5" w:rsidP="00753EB5">
      <w:pPr>
        <w:spacing w:after="150" w:line="288" w:lineRule="auto"/>
        <w:jc w:val="both"/>
        <w:outlineLvl w:val="0"/>
        <w:rPr>
          <w:rFonts w:ascii="Aptos" w:eastAsia="Times New Roman" w:hAnsi="Aptos" w:cs="Times New Roman"/>
          <w:b/>
          <w:bCs/>
          <w:color w:val="002060"/>
          <w:kern w:val="36"/>
          <w:sz w:val="28"/>
          <w:szCs w:val="28"/>
        </w:rPr>
      </w:pPr>
      <w:bookmarkStart w:id="633" w:name="_Toc216965798"/>
      <w:r w:rsidRPr="00753EB5">
        <w:rPr>
          <w:rFonts w:ascii="Aptos" w:eastAsia="Times New Roman" w:hAnsi="Aptos" w:cs="Times New Roman"/>
          <w:b/>
          <w:bCs/>
          <w:color w:val="002060"/>
          <w:kern w:val="36"/>
          <w:sz w:val="28"/>
          <w:szCs w:val="28"/>
        </w:rPr>
        <w:t>PM directs tasks to boost economic growth</w:t>
      </w:r>
      <w:bookmarkEnd w:id="633"/>
    </w:p>
    <w:p w14:paraId="4CB6C9CB" w14:textId="4C067563" w:rsidR="00753EB5" w:rsidRPr="00753EB5" w:rsidRDefault="00753EB5" w:rsidP="00753EB5">
      <w:pPr>
        <w:spacing w:line="288" w:lineRule="auto"/>
        <w:jc w:val="both"/>
        <w:rPr>
          <w:rFonts w:ascii="Aptos" w:eastAsia="Times New Roman" w:hAnsi="Aptos" w:cs="Poppins"/>
          <w:i/>
          <w:iCs/>
          <w:color w:val="002060"/>
          <w:sz w:val="18"/>
          <w:szCs w:val="18"/>
        </w:rPr>
      </w:pPr>
      <w:proofErr w:type="spellStart"/>
      <w:r w:rsidRPr="00753EB5">
        <w:rPr>
          <w:rFonts w:ascii="Aptos" w:eastAsia="Times New Roman" w:hAnsi="Aptos" w:cs="Poppins"/>
          <w:i/>
          <w:iCs/>
          <w:color w:val="002060"/>
          <w:sz w:val="18"/>
          <w:szCs w:val="18"/>
        </w:rPr>
        <w:t>VNA</w:t>
      </w:r>
      <w:proofErr w:type="spellEnd"/>
      <w:r w:rsidRPr="00753EB5">
        <w:rPr>
          <w:rFonts w:ascii="Aptos" w:eastAsia="Times New Roman" w:hAnsi="Aptos" w:cs="Poppins"/>
          <w:i/>
          <w:iCs/>
          <w:color w:val="002060"/>
          <w:sz w:val="18"/>
          <w:szCs w:val="18"/>
        </w:rPr>
        <w:t xml:space="preserve">/VNS </w:t>
      </w:r>
    </w:p>
    <w:p w14:paraId="60461F12" w14:textId="6BF61E5D" w:rsidR="00753EB5" w:rsidRPr="00753EB5" w:rsidRDefault="00753EB5" w:rsidP="00753EB5">
      <w:pPr>
        <w:spacing w:line="288" w:lineRule="auto"/>
        <w:jc w:val="both"/>
        <w:rPr>
          <w:rFonts w:ascii="Aptos" w:eastAsia="Times New Roman" w:hAnsi="Aptos" w:cs="Poppins"/>
          <w:b/>
          <w:bCs/>
          <w:i/>
          <w:iCs/>
          <w:color w:val="002060"/>
        </w:rPr>
      </w:pPr>
      <w:r w:rsidRPr="00753EB5">
        <w:rPr>
          <w:rFonts w:ascii="Aptos" w:eastAsia="Times New Roman" w:hAnsi="Aptos" w:cs="Poppins"/>
          <w:b/>
          <w:bCs/>
          <w:i/>
          <w:iCs/>
          <w:color w:val="002060"/>
        </w:rPr>
        <w:t>Monetary tools, particularly exchange rates, interest rates and credit, must be managed flexibly and effectively to ensure the smooth, safe and stable operation of the monetary and banking systems.</w:t>
      </w:r>
    </w:p>
    <w:p w14:paraId="718AE4BA" w14:textId="77777777" w:rsidR="003F3533"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 xml:space="preserve">Prime Minister </w:t>
      </w:r>
      <w:proofErr w:type="spellStart"/>
      <w:r w:rsidRPr="00753EB5">
        <w:rPr>
          <w:rFonts w:ascii="Aptos" w:eastAsia="Times New Roman" w:hAnsi="Aptos" w:cs="Segoe UI"/>
          <w:color w:val="002060"/>
        </w:rPr>
        <w:t>Phạm</w:t>
      </w:r>
      <w:proofErr w:type="spellEnd"/>
      <w:r w:rsidRPr="00753EB5">
        <w:rPr>
          <w:rFonts w:ascii="Aptos" w:eastAsia="Times New Roman" w:hAnsi="Aptos" w:cs="Segoe UI"/>
          <w:color w:val="002060"/>
        </w:rPr>
        <w:t xml:space="preserve"> Minh </w:t>
      </w:r>
      <w:proofErr w:type="spellStart"/>
      <w:r w:rsidRPr="00753EB5">
        <w:rPr>
          <w:rFonts w:ascii="Aptos" w:eastAsia="Times New Roman" w:hAnsi="Aptos" w:cs="Segoe UI"/>
          <w:color w:val="002060"/>
        </w:rPr>
        <w:t>Chính</w:t>
      </w:r>
      <w:proofErr w:type="spellEnd"/>
      <w:r w:rsidRPr="00753EB5">
        <w:rPr>
          <w:rFonts w:ascii="Aptos" w:eastAsia="Times New Roman" w:hAnsi="Aptos" w:cs="Segoe UI"/>
          <w:color w:val="002060"/>
        </w:rPr>
        <w:t xml:space="preserve"> on Wednesday signed an urgent dispatch detailing key tasks to drive economic growth.</w:t>
      </w:r>
    </w:p>
    <w:p w14:paraId="0E808B8D" w14:textId="3D188AA0"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 xml:space="preserve">To fully </w:t>
      </w:r>
      <w:proofErr w:type="spellStart"/>
      <w:r w:rsidRPr="00753EB5">
        <w:rPr>
          <w:rFonts w:ascii="Aptos" w:eastAsia="Times New Roman" w:hAnsi="Aptos" w:cs="Segoe UI"/>
          <w:color w:val="002060"/>
        </w:rPr>
        <w:t>realise</w:t>
      </w:r>
      <w:proofErr w:type="spellEnd"/>
      <w:r w:rsidRPr="00753EB5">
        <w:rPr>
          <w:rFonts w:ascii="Aptos" w:eastAsia="Times New Roman" w:hAnsi="Aptos" w:cs="Segoe UI"/>
          <w:color w:val="002060"/>
        </w:rPr>
        <w:t xml:space="preserve"> the 2025 socio-economic development plan, while creating momentum for 2026, PM </w:t>
      </w:r>
      <w:proofErr w:type="spellStart"/>
      <w:r w:rsidRPr="00753EB5">
        <w:rPr>
          <w:rFonts w:ascii="Aptos" w:eastAsia="Times New Roman" w:hAnsi="Aptos" w:cs="Segoe UI"/>
          <w:color w:val="002060"/>
        </w:rPr>
        <w:t>Chính</w:t>
      </w:r>
      <w:proofErr w:type="spellEnd"/>
      <w:r w:rsidRPr="00753EB5">
        <w:rPr>
          <w:rFonts w:ascii="Aptos" w:eastAsia="Times New Roman" w:hAnsi="Aptos" w:cs="Segoe UI"/>
          <w:color w:val="002060"/>
        </w:rPr>
        <w:t xml:space="preserve"> urged ministers, heads of ministry-level agencies, and chairpersons of People’s Committees of provinces and </w:t>
      </w:r>
      <w:proofErr w:type="gramStart"/>
      <w:r w:rsidRPr="00753EB5">
        <w:rPr>
          <w:rFonts w:ascii="Aptos" w:eastAsia="Times New Roman" w:hAnsi="Aptos" w:cs="Segoe UI"/>
          <w:color w:val="002060"/>
        </w:rPr>
        <w:t>centrally-</w:t>
      </w:r>
      <w:r w:rsidRPr="00753EB5">
        <w:rPr>
          <w:rFonts w:ascii="Aptos" w:eastAsia="Times New Roman" w:hAnsi="Aptos" w:cs="Segoe UI"/>
          <w:color w:val="002060"/>
        </w:rPr>
        <w:lastRenderedPageBreak/>
        <w:t>run</w:t>
      </w:r>
      <w:proofErr w:type="gramEnd"/>
      <w:r w:rsidRPr="00753EB5">
        <w:rPr>
          <w:rFonts w:ascii="Aptos" w:eastAsia="Times New Roman" w:hAnsi="Aptos" w:cs="Segoe UI"/>
          <w:color w:val="002060"/>
        </w:rPr>
        <w:t xml:space="preserve"> cities to strictly follow resolutions of the Party, the National Assembly and the Government, along with the Prime Minister’s directives.</w:t>
      </w:r>
    </w:p>
    <w:p w14:paraId="74766AA0"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They were asked to urgently review and propose bold “policy breakthroughs” to convert opportunities into concrete outcomes, decisively resolve persistent bottlenecks within their authority, and promptly report issues exceeding their authority to higher competent bodies in accordance with regulations.</w:t>
      </w:r>
    </w:p>
    <w:p w14:paraId="7DE5641F"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The State Bank of Vietnam (</w:t>
      </w:r>
      <w:proofErr w:type="spellStart"/>
      <w:r w:rsidRPr="00753EB5">
        <w:rPr>
          <w:rFonts w:ascii="Aptos" w:eastAsia="Times New Roman" w:hAnsi="Aptos" w:cs="Segoe UI"/>
          <w:color w:val="002060"/>
        </w:rPr>
        <w:t>SBV</w:t>
      </w:r>
      <w:proofErr w:type="spellEnd"/>
      <w:r w:rsidRPr="00753EB5">
        <w:rPr>
          <w:rFonts w:ascii="Aptos" w:eastAsia="Times New Roman" w:hAnsi="Aptos" w:cs="Segoe UI"/>
          <w:color w:val="002060"/>
        </w:rPr>
        <w:t>) was tasked with working the Ministry of Finance (MoF) and relevant ministries and agencies to perform a proactive, flexible, timely and effective monetary policy, closely and harmoniously coordinated with an appropriately expanded fiscal policy and other macroeconomic policies. The goal is to maintain macroeconomic stability, promote growth, control inflation and ensure major economic balances.</w:t>
      </w:r>
    </w:p>
    <w:p w14:paraId="643EFDF5"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Monetary tools, particularly exchange rates, interest rates and credit, must be managed flexibly and effectively to ensure the smooth, safe and stable operation of the monetary and banking systems, thereby supporting production and trade activities, generating employment and attracting investment.</w:t>
      </w:r>
    </w:p>
    <w:p w14:paraId="5FA19437"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 xml:space="preserve">The </w:t>
      </w:r>
      <w:proofErr w:type="spellStart"/>
      <w:r w:rsidRPr="00753EB5">
        <w:rPr>
          <w:rFonts w:ascii="Aptos" w:eastAsia="Times New Roman" w:hAnsi="Aptos" w:cs="Segoe UI"/>
          <w:color w:val="002060"/>
        </w:rPr>
        <w:t>SBV</w:t>
      </w:r>
      <w:proofErr w:type="spellEnd"/>
      <w:r w:rsidRPr="00753EB5">
        <w:rPr>
          <w:rFonts w:ascii="Aptos" w:eastAsia="Times New Roman" w:hAnsi="Aptos" w:cs="Segoe UI"/>
          <w:color w:val="002060"/>
        </w:rPr>
        <w:t xml:space="preserve"> was directed to urgently propose the establishment of a national gold exchange and submit the plan to standing Government members by December 20, 2025. Credit allocation must be tightly controlled to </w:t>
      </w:r>
      <w:proofErr w:type="spellStart"/>
      <w:r w:rsidRPr="00753EB5">
        <w:rPr>
          <w:rFonts w:ascii="Aptos" w:eastAsia="Times New Roman" w:hAnsi="Aptos" w:cs="Segoe UI"/>
          <w:color w:val="002060"/>
        </w:rPr>
        <w:t>prioritise</w:t>
      </w:r>
      <w:proofErr w:type="spellEnd"/>
      <w:r w:rsidRPr="00753EB5">
        <w:rPr>
          <w:rFonts w:ascii="Aptos" w:eastAsia="Times New Roman" w:hAnsi="Aptos" w:cs="Segoe UI"/>
          <w:color w:val="002060"/>
        </w:rPr>
        <w:t xml:space="preserve"> drivers of inclusive and sustainable growth, including sci-tech, green and digital transformation, social housing and post-disaster recovery.</w:t>
      </w:r>
    </w:p>
    <w:p w14:paraId="54BFF79E"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 xml:space="preserve">The MoF, in collaboration with relevant ministries and agencies, was assigned to swiftly propose and </w:t>
      </w:r>
      <w:proofErr w:type="spellStart"/>
      <w:r w:rsidRPr="00753EB5">
        <w:rPr>
          <w:rFonts w:ascii="Aptos" w:eastAsia="Times New Roman" w:hAnsi="Aptos" w:cs="Segoe UI"/>
          <w:color w:val="002060"/>
        </w:rPr>
        <w:t>finalise</w:t>
      </w:r>
      <w:proofErr w:type="spellEnd"/>
      <w:r w:rsidRPr="00753EB5">
        <w:rPr>
          <w:rFonts w:ascii="Aptos" w:eastAsia="Times New Roman" w:hAnsi="Aptos" w:cs="Segoe UI"/>
          <w:color w:val="002060"/>
        </w:rPr>
        <w:t xml:space="preserve"> mechanisms, policies and legal regulations to ensure the effective operation of an international financial </w:t>
      </w:r>
      <w:proofErr w:type="spellStart"/>
      <w:r w:rsidRPr="00753EB5">
        <w:rPr>
          <w:rFonts w:ascii="Aptos" w:eastAsia="Times New Roman" w:hAnsi="Aptos" w:cs="Segoe UI"/>
          <w:color w:val="002060"/>
        </w:rPr>
        <w:t>centre</w:t>
      </w:r>
      <w:proofErr w:type="spellEnd"/>
      <w:r w:rsidRPr="00753EB5">
        <w:rPr>
          <w:rFonts w:ascii="Aptos" w:eastAsia="Times New Roman" w:hAnsi="Aptos" w:cs="Segoe UI"/>
          <w:color w:val="002060"/>
        </w:rPr>
        <w:t xml:space="preserve"> in </w:t>
      </w:r>
      <w:proofErr w:type="spellStart"/>
      <w:r w:rsidRPr="00753EB5">
        <w:rPr>
          <w:rFonts w:ascii="Aptos" w:eastAsia="Times New Roman" w:hAnsi="Aptos" w:cs="Segoe UI"/>
          <w:color w:val="002060"/>
        </w:rPr>
        <w:t>Việt</w:t>
      </w:r>
      <w:proofErr w:type="spellEnd"/>
      <w:r w:rsidRPr="00753EB5">
        <w:rPr>
          <w:rFonts w:ascii="Aptos" w:eastAsia="Times New Roman" w:hAnsi="Aptos" w:cs="Segoe UI"/>
          <w:color w:val="002060"/>
        </w:rPr>
        <w:t xml:space="preserve"> Nam, while advancing the green bond market, regulatory sandboxes and rules for new financial instruments in line with existing laws.</w:t>
      </w:r>
    </w:p>
    <w:p w14:paraId="638B48FB"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It must also intensify inspections and oversight of public investment disbursement by ministries, agencies and localities, especially for national key projects, major infrastructure, expressways, inter-regional schemes and those with spillover effects.</w:t>
      </w:r>
    </w:p>
    <w:p w14:paraId="717BA431"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The ministry was further instructed to pilot a cryptocurrency market, ensuring healthy, effective and secure operations, robust risk management and protection of investors’ legitimate rights and interests.</w:t>
      </w:r>
    </w:p>
    <w:p w14:paraId="2F56D1EE" w14:textId="77777777" w:rsidR="00753EB5"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 xml:space="preserve">It was also required to urgently complete the national one-stop investment portal and report to the PM this month, while devising measures to better </w:t>
      </w:r>
      <w:proofErr w:type="spellStart"/>
      <w:r w:rsidRPr="00753EB5">
        <w:rPr>
          <w:rFonts w:ascii="Aptos" w:eastAsia="Times New Roman" w:hAnsi="Aptos" w:cs="Segoe UI"/>
          <w:color w:val="002060"/>
        </w:rPr>
        <w:t>utilise</w:t>
      </w:r>
      <w:proofErr w:type="spellEnd"/>
      <w:r w:rsidRPr="00753EB5">
        <w:rPr>
          <w:rFonts w:ascii="Aptos" w:eastAsia="Times New Roman" w:hAnsi="Aptos" w:cs="Segoe UI"/>
          <w:color w:val="002060"/>
        </w:rPr>
        <w:t xml:space="preserve"> fiscal space to bolster macroeconomic stability and pursue double-digit growth, including through bond issuance for critical projects and major infrastructure works.</w:t>
      </w:r>
    </w:p>
    <w:p w14:paraId="0EB1755F" w14:textId="53942DB6" w:rsidR="00F675E0" w:rsidRPr="00753EB5" w:rsidRDefault="00753EB5" w:rsidP="00753EB5">
      <w:pPr>
        <w:spacing w:after="450" w:line="288" w:lineRule="auto"/>
        <w:jc w:val="both"/>
        <w:rPr>
          <w:rFonts w:ascii="Aptos" w:eastAsia="Times New Roman" w:hAnsi="Aptos" w:cs="Segoe UI"/>
          <w:color w:val="002060"/>
        </w:rPr>
      </w:pPr>
      <w:r w:rsidRPr="00753EB5">
        <w:rPr>
          <w:rFonts w:ascii="Aptos" w:eastAsia="Times New Roman" w:hAnsi="Aptos" w:cs="Segoe UI"/>
          <w:color w:val="002060"/>
        </w:rPr>
        <w:t>Additional specific tasks were assigned to relevant ministries, agencies, municipal and provincial authorities.</w:t>
      </w:r>
    </w:p>
    <w:bookmarkStart w:id="634" w:name="_Toc192767033"/>
    <w:bookmarkStart w:id="635" w:name="_Toc193361541"/>
    <w:bookmarkStart w:id="636" w:name="_Toc193977732"/>
    <w:bookmarkStart w:id="637" w:name="_Toc194671397"/>
    <w:bookmarkStart w:id="638" w:name="_Toc195192232"/>
    <w:bookmarkStart w:id="639" w:name="_Toc195795575"/>
    <w:bookmarkStart w:id="640" w:name="_Toc196395801"/>
    <w:bookmarkStart w:id="641" w:name="_Toc197596761"/>
    <w:bookmarkStart w:id="642" w:name="_Toc198210648"/>
    <w:bookmarkStart w:id="643" w:name="_Toc198816031"/>
    <w:bookmarkStart w:id="644" w:name="_Toc199419427"/>
    <w:bookmarkStart w:id="645" w:name="_Toc200013599"/>
    <w:bookmarkStart w:id="646" w:name="_Toc200628575"/>
    <w:bookmarkStart w:id="647" w:name="_Toc201837358"/>
    <w:bookmarkStart w:id="648" w:name="_Toc202445693"/>
    <w:bookmarkStart w:id="649" w:name="_Toc203047559"/>
    <w:bookmarkStart w:id="650" w:name="_Toc203655863"/>
    <w:bookmarkStart w:id="651" w:name="_Toc204262801"/>
    <w:bookmarkStart w:id="652" w:name="_Toc204862959"/>
    <w:bookmarkStart w:id="653" w:name="_Toc205466588"/>
    <w:bookmarkStart w:id="654" w:name="_Toc206074506"/>
    <w:bookmarkStart w:id="655" w:name="_Toc207184398"/>
    <w:bookmarkStart w:id="656" w:name="_Toc207888604"/>
    <w:bookmarkStart w:id="657" w:name="_Toc208493627"/>
    <w:bookmarkStart w:id="658" w:name="_Toc208493705"/>
    <w:p w14:paraId="1D6A4636" w14:textId="0CA30372" w:rsidR="00304B3D" w:rsidRDefault="00304B3D" w:rsidP="00304B3D">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1EDA00B" w14:textId="77777777" w:rsidR="00C145FC" w:rsidRDefault="00C145FC" w:rsidP="00C145FC">
      <w:pPr>
        <w:shd w:val="clear" w:color="auto" w:fill="FFFFFF"/>
        <w:spacing w:before="100" w:beforeAutospacing="1" w:after="100" w:afterAutospacing="1" w:line="240" w:lineRule="auto"/>
        <w:outlineLvl w:val="0"/>
        <w:rPr>
          <w:rFonts w:ascii="notosans-bold" w:eastAsia="Times New Roman" w:hAnsi="notosans-bold" w:cs="Times New Roman"/>
          <w:b/>
          <w:bCs/>
          <w:color w:val="2A2A2A"/>
          <w:kern w:val="36"/>
          <w:sz w:val="48"/>
          <w:szCs w:val="48"/>
        </w:rPr>
      </w:pPr>
    </w:p>
    <w:p w14:paraId="0E67610F" w14:textId="41011774" w:rsidR="00C145FC" w:rsidRPr="00A34554" w:rsidRDefault="00C145FC" w:rsidP="00A34554">
      <w:pPr>
        <w:shd w:val="clear" w:color="auto" w:fill="FFFFFF"/>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659" w:name="_Toc216965799"/>
      <w:r w:rsidRPr="00C145FC">
        <w:rPr>
          <w:rFonts w:ascii="Aptos" w:eastAsia="Times New Roman" w:hAnsi="Aptos" w:cs="Times New Roman"/>
          <w:b/>
          <w:bCs/>
          <w:color w:val="002060"/>
          <w:kern w:val="36"/>
          <w:sz w:val="28"/>
          <w:szCs w:val="28"/>
        </w:rPr>
        <w:t>Vietnam defies US tariffs with robust export growth in 2025</w:t>
      </w:r>
      <w:bookmarkEnd w:id="659"/>
    </w:p>
    <w:p w14:paraId="27CE2EB8" w14:textId="4AD5FD1C" w:rsidR="00C145FC" w:rsidRPr="00C145FC" w:rsidRDefault="00C145FC" w:rsidP="00A34554">
      <w:pPr>
        <w:shd w:val="clear" w:color="auto" w:fill="FFFFFF"/>
        <w:spacing w:before="100" w:beforeAutospacing="1" w:after="100" w:afterAutospacing="1" w:line="288" w:lineRule="auto"/>
        <w:outlineLvl w:val="0"/>
        <w:rPr>
          <w:rFonts w:ascii="Aptos" w:eastAsia="Times New Roman" w:hAnsi="Aptos" w:cs="Times New Roman"/>
          <w:i/>
          <w:iCs/>
          <w:color w:val="002060"/>
          <w:kern w:val="36"/>
          <w:sz w:val="18"/>
          <w:szCs w:val="18"/>
        </w:rPr>
      </w:pPr>
      <w:bookmarkStart w:id="660" w:name="_Toc216965800"/>
      <w:proofErr w:type="spellStart"/>
      <w:r w:rsidRPr="00A34554">
        <w:rPr>
          <w:rFonts w:ascii="Aptos" w:eastAsia="Times New Roman" w:hAnsi="Aptos" w:cs="Times New Roman"/>
          <w:i/>
          <w:iCs/>
          <w:color w:val="002060"/>
          <w:kern w:val="36"/>
          <w:sz w:val="18"/>
          <w:szCs w:val="18"/>
        </w:rPr>
        <w:t>VNA</w:t>
      </w:r>
      <w:bookmarkEnd w:id="660"/>
      <w:proofErr w:type="spellEnd"/>
    </w:p>
    <w:p w14:paraId="2BE31FFD" w14:textId="77777777" w:rsidR="00C145FC" w:rsidRPr="00C145FC" w:rsidRDefault="00C145FC" w:rsidP="00A34554">
      <w:pPr>
        <w:shd w:val="clear" w:color="auto" w:fill="FFFFFF"/>
        <w:spacing w:before="100" w:beforeAutospacing="1" w:after="100" w:afterAutospacing="1" w:line="288" w:lineRule="auto"/>
        <w:outlineLvl w:val="1"/>
        <w:rPr>
          <w:rFonts w:ascii="Aptos" w:eastAsia="Times New Roman" w:hAnsi="Aptos" w:cs="Arial"/>
          <w:b/>
          <w:bCs/>
          <w:color w:val="002060"/>
        </w:rPr>
      </w:pPr>
      <w:bookmarkStart w:id="661" w:name="_Toc216965801"/>
      <w:r w:rsidRPr="00C145FC">
        <w:rPr>
          <w:rFonts w:ascii="Aptos" w:eastAsia="Times New Roman" w:hAnsi="Aptos" w:cs="Arial"/>
          <w:b/>
          <w:bCs/>
          <w:color w:val="002060"/>
        </w:rPr>
        <w:t>Average export growth during January-November hit 28%, with shipments to the US rising over 30%. Much of this impressive expansion stemmed from front-loading of major orders in the second quarter ahead of tariff imposition.</w:t>
      </w:r>
      <w:bookmarkEnd w:id="661"/>
    </w:p>
    <w:p w14:paraId="434EE9E7" w14:textId="0FBF1FFC" w:rsidR="00C145FC" w:rsidRPr="00C145FC" w:rsidRDefault="00C145FC" w:rsidP="00A34554">
      <w:pPr>
        <w:shd w:val="clear" w:color="auto" w:fill="FFFFFF"/>
        <w:spacing w:after="0" w:line="288" w:lineRule="auto"/>
        <w:rPr>
          <w:rFonts w:ascii="Aptos" w:eastAsia="Times New Roman" w:hAnsi="Aptos" w:cs="Arial"/>
          <w:color w:val="002060"/>
        </w:rPr>
      </w:pPr>
      <w:r w:rsidRPr="00C145FC">
        <w:rPr>
          <w:rFonts w:ascii="Aptos" w:eastAsia="Times New Roman" w:hAnsi="Aptos" w:cs="Arial"/>
          <w:color w:val="002060"/>
        </w:rPr>
        <w:t>Vietnam’s average export growth has stayed in double digits year on year, while the share of exports to the US, the country’s largest market, has remained strong over the past 11 months, despite mounting tariff pressures.</w:t>
      </w:r>
      <w:r w:rsidRPr="00C145FC">
        <w:rPr>
          <w:rFonts w:ascii="Aptos" w:eastAsia="Times New Roman" w:hAnsi="Aptos" w:cs="Arial"/>
          <w:color w:val="002060"/>
        </w:rPr>
        <w:br/>
      </w:r>
      <w:r w:rsidRPr="00C145FC">
        <w:rPr>
          <w:rFonts w:ascii="Aptos" w:eastAsia="Times New Roman" w:hAnsi="Aptos" w:cs="Arial"/>
          <w:color w:val="002060"/>
        </w:rPr>
        <w:br/>
      </w:r>
      <w:r w:rsidRPr="00C145FC">
        <w:rPr>
          <w:rFonts w:ascii="Aptos" w:eastAsia="Times New Roman" w:hAnsi="Aptos" w:cs="Arial"/>
          <w:b/>
          <w:bCs/>
          <w:color w:val="002060"/>
          <w:bdr w:val="none" w:sz="0" w:space="0" w:color="auto" w:frame="1"/>
        </w:rPr>
        <w:t>Measuring tariff impacts</w:t>
      </w:r>
      <w:r w:rsidRPr="00C145FC">
        <w:rPr>
          <w:rFonts w:ascii="Aptos" w:eastAsia="Times New Roman" w:hAnsi="Aptos" w:cs="Arial"/>
          <w:color w:val="002060"/>
        </w:rPr>
        <w:br/>
      </w:r>
      <w:r w:rsidRPr="00C145FC">
        <w:rPr>
          <w:rFonts w:ascii="Aptos" w:eastAsia="Times New Roman" w:hAnsi="Aptos" w:cs="Arial"/>
          <w:color w:val="002060"/>
        </w:rPr>
        <w:br/>
        <w:t>The effects of US reciprocal tariffs on Vietnam’s economy, especially exports, have been far milder than initial projections. HSBC’s latest reported showed that Vietnam’s trade flows, foreign direct investment and key macroeconomic metrics have all outperformed forecasts.</w:t>
      </w:r>
      <w:r w:rsidRPr="00C145FC">
        <w:rPr>
          <w:rFonts w:ascii="Aptos" w:eastAsia="Times New Roman" w:hAnsi="Aptos" w:cs="Arial"/>
          <w:color w:val="002060"/>
        </w:rPr>
        <w:br/>
      </w:r>
      <w:r w:rsidRPr="00C145FC">
        <w:rPr>
          <w:rFonts w:ascii="Aptos" w:eastAsia="Times New Roman" w:hAnsi="Aptos" w:cs="Arial"/>
          <w:color w:val="002060"/>
        </w:rPr>
        <w:br/>
        <w:t>HSBC noted that average export growth during January-November hit 28%, with shipments to the US rising over 30%. Much of this impressive expansion stemmed from front-loading of major orders in the second quarter ahead of tariff imposition.</w:t>
      </w:r>
      <w:r w:rsidRPr="00C145FC">
        <w:rPr>
          <w:rFonts w:ascii="Aptos" w:eastAsia="Times New Roman" w:hAnsi="Aptos" w:cs="Arial"/>
          <w:color w:val="002060"/>
        </w:rPr>
        <w:br/>
      </w:r>
      <w:r w:rsidRPr="00C145FC">
        <w:rPr>
          <w:rFonts w:ascii="Aptos" w:eastAsia="Times New Roman" w:hAnsi="Aptos" w:cs="Arial"/>
          <w:color w:val="002060"/>
        </w:rPr>
        <w:br/>
        <w:t>The National Statistics Office reported that total trade turnover neared 840 billion USD by late November, up 17.2% from a year earlier. Exports reached more than 430 billion USD, a 16.1% gain that already topped the full-year 2024 figure.</w:t>
      </w:r>
      <w:r w:rsidRPr="00C145FC">
        <w:rPr>
          <w:rFonts w:ascii="Aptos" w:eastAsia="Times New Roman" w:hAnsi="Aptos" w:cs="Arial"/>
          <w:color w:val="002060"/>
        </w:rPr>
        <w:br/>
      </w:r>
      <w:r w:rsidRPr="00C145FC">
        <w:rPr>
          <w:rFonts w:ascii="Aptos" w:eastAsia="Times New Roman" w:hAnsi="Aptos" w:cs="Arial"/>
          <w:color w:val="002060"/>
        </w:rPr>
        <w:br/>
        <w:t>Customs data showed exports to the US surpassed 138.6 billion USD during the period, up 27.2% year-on-year.</w:t>
      </w:r>
      <w:r w:rsidRPr="00C145FC">
        <w:rPr>
          <w:rFonts w:ascii="Aptos" w:eastAsia="Times New Roman" w:hAnsi="Aptos" w:cs="Arial"/>
          <w:color w:val="002060"/>
        </w:rPr>
        <w:br/>
      </w:r>
      <w:r w:rsidRPr="00C145FC">
        <w:rPr>
          <w:rFonts w:ascii="Aptos" w:eastAsia="Times New Roman" w:hAnsi="Aptos" w:cs="Arial"/>
          <w:color w:val="002060"/>
        </w:rPr>
        <w:br/>
        <w:t>HSBC flagged a major structural change in Vietnam’s US-bound exports. Back to 2013, light manufacturing sectors like apparel, footwear and toys made up about 60% of shipments, while electronics accounted for just a modest 13%. Now, electronics dominate the category.</w:t>
      </w:r>
      <w:r w:rsidRPr="00C145FC">
        <w:rPr>
          <w:rFonts w:ascii="Aptos" w:eastAsia="Times New Roman" w:hAnsi="Aptos" w:cs="Arial"/>
          <w:color w:val="002060"/>
        </w:rPr>
        <w:br/>
      </w:r>
      <w:r w:rsidRPr="00C145FC">
        <w:rPr>
          <w:rFonts w:ascii="Aptos" w:eastAsia="Times New Roman" w:hAnsi="Aptos" w:cs="Arial"/>
          <w:color w:val="002060"/>
        </w:rPr>
        <w:br/>
        <w:t>Since early 2025, electronics have eclipsed light manufacturing as the top export to the US, valued at around 50 billion USD. Including machinery, equipment, tools and parts, the combined total exceeds 70 billion USD.</w:t>
      </w:r>
      <w:r w:rsidRPr="00C145FC">
        <w:rPr>
          <w:rFonts w:ascii="Aptos" w:eastAsia="Times New Roman" w:hAnsi="Aptos" w:cs="Arial"/>
          <w:color w:val="002060"/>
        </w:rPr>
        <w:br/>
      </w:r>
      <w:r w:rsidRPr="00C145FC">
        <w:rPr>
          <w:rFonts w:ascii="Aptos" w:eastAsia="Times New Roman" w:hAnsi="Aptos" w:cs="Arial"/>
          <w:color w:val="002060"/>
        </w:rPr>
        <w:br/>
        <w:t>Yet, the export performance also exposes vulnerabilities. Domestic-sector exports totaled 102.41 billion USD, down 1.7% and representing only 23.8% of the overall figure. By contrast, the foreign-invested sector posted 327.73 billion USD, up 23.1% and accounting for 76.2% of total exports.</w:t>
      </w:r>
      <w:r w:rsidRPr="00C145FC">
        <w:rPr>
          <w:rFonts w:ascii="Aptos" w:eastAsia="Times New Roman" w:hAnsi="Aptos" w:cs="Arial"/>
          <w:color w:val="002060"/>
        </w:rPr>
        <w:br/>
      </w:r>
      <w:r w:rsidRPr="00C145FC">
        <w:rPr>
          <w:rFonts w:ascii="Aptos" w:eastAsia="Times New Roman" w:hAnsi="Aptos" w:cs="Arial"/>
          <w:color w:val="002060"/>
        </w:rPr>
        <w:br/>
      </w:r>
      <w:r w:rsidRPr="00C145FC">
        <w:rPr>
          <w:rFonts w:ascii="Aptos" w:eastAsia="Times New Roman" w:hAnsi="Aptos" w:cs="Arial"/>
          <w:b/>
          <w:bCs/>
          <w:color w:val="002060"/>
          <w:bdr w:val="none" w:sz="0" w:space="0" w:color="auto" w:frame="1"/>
        </w:rPr>
        <w:t>Lingering risks ahead</w:t>
      </w:r>
      <w:r w:rsidRPr="00C145FC">
        <w:rPr>
          <w:rFonts w:ascii="Aptos" w:eastAsia="Times New Roman" w:hAnsi="Aptos" w:cs="Arial"/>
          <w:color w:val="002060"/>
        </w:rPr>
        <w:br/>
      </w:r>
      <w:r w:rsidRPr="00C145FC">
        <w:rPr>
          <w:rFonts w:ascii="Aptos" w:eastAsia="Times New Roman" w:hAnsi="Aptos" w:cs="Arial"/>
          <w:color w:val="002060"/>
        </w:rPr>
        <w:br/>
        <w:t xml:space="preserve">Vietnam closes 2025 on a strong trade note, but there’s no assurance the momentum will carry into next year amid escalating global trade risks. HSBC analysts warned that the 2026 export outlook is clouded, with potential </w:t>
      </w:r>
      <w:r w:rsidRPr="00C145FC">
        <w:rPr>
          <w:rFonts w:ascii="Aptos" w:eastAsia="Times New Roman" w:hAnsi="Aptos" w:cs="Arial"/>
          <w:color w:val="002060"/>
        </w:rPr>
        <w:lastRenderedPageBreak/>
        <w:t>impacts hard to gauge.</w:t>
      </w:r>
      <w:r w:rsidRPr="00C145FC">
        <w:rPr>
          <w:rFonts w:ascii="Aptos" w:eastAsia="Times New Roman" w:hAnsi="Aptos" w:cs="Arial"/>
          <w:color w:val="002060"/>
        </w:rPr>
        <w:br/>
      </w:r>
      <w:r w:rsidRPr="00C145FC">
        <w:rPr>
          <w:rFonts w:ascii="Aptos" w:eastAsia="Times New Roman" w:hAnsi="Aptos" w:cs="Arial"/>
          <w:color w:val="002060"/>
        </w:rPr>
        <w:br/>
        <w:t xml:space="preserve">The Ministry of Industry and Trade’s Agency of Foreign Trade cited ongoing pressures from rising protectionism, tougher green supply chain standards and a tepid global recovery. The full bite of reciprocal tariffs is likely to </w:t>
      </w:r>
      <w:proofErr w:type="spellStart"/>
      <w:r w:rsidRPr="00C145FC">
        <w:rPr>
          <w:rFonts w:ascii="Aptos" w:eastAsia="Times New Roman" w:hAnsi="Aptos" w:cs="Arial"/>
          <w:color w:val="002060"/>
        </w:rPr>
        <w:t>materialise</w:t>
      </w:r>
      <w:proofErr w:type="spellEnd"/>
      <w:r w:rsidRPr="00C145FC">
        <w:rPr>
          <w:rFonts w:ascii="Aptos" w:eastAsia="Times New Roman" w:hAnsi="Aptos" w:cs="Arial"/>
          <w:color w:val="002060"/>
        </w:rPr>
        <w:t xml:space="preserve"> in 2026, compounded by softer demand in key markets due to persistent inflation.</w:t>
      </w:r>
      <w:r w:rsidRPr="00C145FC">
        <w:rPr>
          <w:rFonts w:ascii="Aptos" w:eastAsia="Times New Roman" w:hAnsi="Aptos" w:cs="Arial"/>
          <w:color w:val="002060"/>
        </w:rPr>
        <w:br/>
      </w:r>
      <w:r w:rsidRPr="00C145FC">
        <w:rPr>
          <w:rFonts w:ascii="Aptos" w:eastAsia="Times New Roman" w:hAnsi="Aptos" w:cs="Arial"/>
          <w:color w:val="002060"/>
        </w:rPr>
        <w:br/>
        <w:t>Much of this year’s growth has come from a narrow set of leading categories, including electronics, machinery and apparel. Electronics, computers and components alone generated 97 billion USD in the first 11 months, up 48.5% and adding 24.4 billion USD year-on-year. Full-year shipments in the group are projected at 104-105 billion USD, versus 72.6 billion USD for all of 2024.</w:t>
      </w:r>
      <w:r w:rsidRPr="00C145FC">
        <w:rPr>
          <w:rFonts w:ascii="Aptos" w:eastAsia="Times New Roman" w:hAnsi="Aptos" w:cs="Arial"/>
          <w:color w:val="002060"/>
        </w:rPr>
        <w:br/>
      </w:r>
      <w:r w:rsidRPr="00C145FC">
        <w:rPr>
          <w:rFonts w:ascii="Aptos" w:eastAsia="Times New Roman" w:hAnsi="Aptos" w:cs="Arial"/>
          <w:color w:val="002060"/>
        </w:rPr>
        <w:br/>
        <w:t>Nguyen Hong Duong, Deputy Director of the MIT’s Department of Overseas Market Development, urged firms to upgrade product quality, increase the share of domestic added value, tighten origin rules and maintain thorough documentation on inputs. Such steps, he said, are critical for smooth verification by importing authorities when required.</w:t>
      </w:r>
    </w:p>
    <w:p w14:paraId="33A7D703" w14:textId="77777777" w:rsidR="00844199" w:rsidRPr="004C6CBE" w:rsidRDefault="00844199" w:rsidP="00304B3D">
      <w:pPr>
        <w:spacing w:line="288" w:lineRule="auto"/>
        <w:jc w:val="right"/>
        <w:rPr>
          <w:rStyle w:val="Hyperlink"/>
          <w:rFonts w:ascii="Aptos" w:eastAsia="Malgun Gothic" w:hAnsi="Aptos" w:cs="Times New Roman"/>
          <w:color w:val="002060"/>
        </w:rPr>
      </w:pPr>
    </w:p>
    <w:p w14:paraId="16B1593B" w14:textId="77777777" w:rsidR="00844199" w:rsidRPr="004C6CBE" w:rsidRDefault="00EF600B" w:rsidP="00844199">
      <w:pPr>
        <w:spacing w:line="288" w:lineRule="auto"/>
        <w:jc w:val="right"/>
        <w:rPr>
          <w:rStyle w:val="Hyperlink"/>
          <w:rFonts w:ascii="Aptos" w:eastAsia="Malgun Gothic" w:hAnsi="Aptos" w:cs="Times New Roman"/>
          <w:color w:val="002060"/>
        </w:rPr>
      </w:pPr>
      <w:hyperlink w:anchor="_top" w:history="1">
        <w:r w:rsidR="00844199" w:rsidRPr="004C6CBE">
          <w:rPr>
            <w:rStyle w:val="Hyperlink"/>
            <w:rFonts w:ascii="Aptos" w:eastAsia="Malgun Gothic" w:hAnsi="Aptos" w:cs="Times New Roman"/>
            <w:color w:val="002060"/>
          </w:rPr>
          <w:t>Back to Top</w:t>
        </w:r>
      </w:hyperlink>
    </w:p>
    <w:p w14:paraId="191104CF" w14:textId="77777777" w:rsidR="002A02C8" w:rsidRPr="004C6CBE" w:rsidRDefault="002A02C8" w:rsidP="00EA3310">
      <w:pPr>
        <w:pStyle w:val="Heading1"/>
        <w:rPr>
          <w:rFonts w:ascii="Aptos" w:eastAsia="Malgun Gothic" w:hAnsi="Aptos" w:cs="Times New Roman"/>
          <w:color w:val="002060"/>
        </w:rPr>
      </w:pPr>
    </w:p>
    <w:p w14:paraId="5D7C6CC7" w14:textId="77777777" w:rsidR="00350458" w:rsidRDefault="00350458" w:rsidP="004F381D">
      <w:pPr>
        <w:pStyle w:val="Heading1"/>
        <w:shd w:val="clear" w:color="auto" w:fill="FFFFFF"/>
        <w:spacing w:before="0" w:line="288" w:lineRule="atLeast"/>
        <w:rPr>
          <w:rFonts w:ascii="Aptos" w:eastAsia="Malgun Gothic" w:hAnsi="Aptos" w:cs="Times New Roman"/>
          <w:color w:val="002060"/>
        </w:rPr>
      </w:pPr>
      <w:bookmarkStart w:id="662" w:name="_Toc209099449"/>
      <w:bookmarkStart w:id="663" w:name="_Toc209702677"/>
      <w:bookmarkStart w:id="664" w:name="_Toc210305241"/>
      <w:bookmarkStart w:id="665" w:name="_Toc210911919"/>
      <w:bookmarkStart w:id="666" w:name="_Toc210912011"/>
      <w:bookmarkStart w:id="667" w:name="_Toc211518242"/>
      <w:bookmarkStart w:id="668" w:name="_Toc212118923"/>
      <w:bookmarkStart w:id="669" w:name="_Toc212726918"/>
      <w:bookmarkStart w:id="670" w:name="_Toc213334254"/>
      <w:bookmarkStart w:id="671" w:name="_Toc213924603"/>
      <w:bookmarkStart w:id="672" w:name="_Toc214539945"/>
      <w:bookmarkStart w:id="673" w:name="_Toc215144380"/>
    </w:p>
    <w:p w14:paraId="48878818" w14:textId="6384173D" w:rsidR="00AB2A22" w:rsidRPr="004C6CBE" w:rsidRDefault="003C4CF1" w:rsidP="004F381D">
      <w:pPr>
        <w:pStyle w:val="Heading1"/>
        <w:shd w:val="clear" w:color="auto" w:fill="FFFFFF"/>
        <w:spacing w:before="0" w:line="288" w:lineRule="atLeast"/>
        <w:rPr>
          <w:rFonts w:ascii="Aptos" w:eastAsia="Malgun Gothic" w:hAnsi="Aptos" w:cs="Times New Roman"/>
          <w:color w:val="002060"/>
        </w:rPr>
      </w:pPr>
      <w:bookmarkStart w:id="674" w:name="_Toc215750958"/>
      <w:bookmarkStart w:id="675" w:name="_Toc216355054"/>
      <w:bookmarkStart w:id="676" w:name="_Toc216965802"/>
      <w:r w:rsidRPr="004C6CBE">
        <w:rPr>
          <w:rFonts w:ascii="Aptos" w:eastAsia="Malgun Gothic" w:hAnsi="Aptos" w:cs="Times New Roman"/>
          <w:color w:val="002060"/>
        </w:rPr>
        <w:t>INVESTMENT</w:t>
      </w:r>
      <w:bookmarkStart w:id="677" w:name="_Toc85726063"/>
      <w:bookmarkStart w:id="678" w:name="_Toc432151524"/>
      <w:bookmarkStart w:id="679" w:name="_Toc432755907"/>
      <w:bookmarkStart w:id="680" w:name="_Toc433361380"/>
      <w:bookmarkStart w:id="681" w:name="_Toc433965278"/>
      <w:bookmarkStart w:id="682" w:name="_Toc434571316"/>
      <w:bookmarkStart w:id="683" w:name="_Toc435172624"/>
      <w:bookmarkStart w:id="684" w:name="_Toc435779449"/>
      <w:bookmarkStart w:id="685" w:name="_Toc436380890"/>
      <w:bookmarkStart w:id="686" w:name="_Toc436991379"/>
      <w:bookmarkStart w:id="687" w:name="_Toc437595402"/>
      <w:bookmarkStart w:id="688" w:name="_Toc440013654"/>
      <w:bookmarkStart w:id="689" w:name="_Toc440621866"/>
      <w:bookmarkStart w:id="690" w:name="_Toc441223776"/>
      <w:bookmarkStart w:id="691" w:name="_Toc441828302"/>
      <w:bookmarkStart w:id="692" w:name="_Toc441828397"/>
      <w:bookmarkStart w:id="693" w:name="_Toc442344478"/>
      <w:bookmarkStart w:id="694" w:name="_Toc443643410"/>
      <w:bookmarkStart w:id="695" w:name="_Toc444246121"/>
      <w:bookmarkStart w:id="696" w:name="_Toc444852043"/>
      <w:bookmarkStart w:id="697" w:name="_Toc445456104"/>
      <w:bookmarkStart w:id="698" w:name="_Toc445973470"/>
      <w:bookmarkStart w:id="699" w:name="_Toc446664823"/>
      <w:bookmarkStart w:id="700" w:name="_Toc447269375"/>
      <w:bookmarkStart w:id="701" w:name="_Toc447874150"/>
      <w:bookmarkStart w:id="702" w:name="_Toc448482080"/>
      <w:bookmarkStart w:id="703" w:name="_Toc449082188"/>
      <w:bookmarkStart w:id="704" w:name="_Toc449689091"/>
      <w:bookmarkStart w:id="705" w:name="_Toc450293029"/>
      <w:bookmarkStart w:id="706" w:name="_Toc450896941"/>
      <w:bookmarkStart w:id="707" w:name="_Toc452625639"/>
      <w:bookmarkStart w:id="708" w:name="_Toc453317635"/>
      <w:bookmarkStart w:id="709" w:name="_Toc453921139"/>
      <w:bookmarkStart w:id="710" w:name="_Toc454525843"/>
      <w:bookmarkStart w:id="711" w:name="_Toc455664220"/>
      <w:bookmarkStart w:id="712" w:name="_Toc456342934"/>
      <w:bookmarkStart w:id="713" w:name="_Toc456948592"/>
      <w:bookmarkStart w:id="714" w:name="_Toc457551652"/>
      <w:bookmarkStart w:id="715" w:name="_Toc458760438"/>
      <w:bookmarkStart w:id="716" w:name="_Toc459970961"/>
      <w:bookmarkStart w:id="717" w:name="_Toc460493837"/>
      <w:bookmarkStart w:id="718" w:name="_Toc461091259"/>
      <w:bookmarkStart w:id="719" w:name="_Toc461785962"/>
      <w:bookmarkStart w:id="720" w:name="_Toc462393216"/>
      <w:bookmarkStart w:id="721" w:name="_Toc462996392"/>
      <w:bookmarkStart w:id="722" w:name="_Toc463600474"/>
      <w:bookmarkStart w:id="723" w:name="_Toc464205360"/>
      <w:bookmarkStart w:id="724" w:name="_Toc464808172"/>
      <w:bookmarkStart w:id="725" w:name="_Toc465341592"/>
      <w:bookmarkStart w:id="726" w:name="_Toc466017257"/>
      <w:bookmarkStart w:id="727" w:name="_Toc466625785"/>
      <w:bookmarkStart w:id="728" w:name="_Toc467231588"/>
      <w:bookmarkStart w:id="729" w:name="_Toc467832927"/>
      <w:bookmarkStart w:id="730" w:name="_Toc468440613"/>
      <w:bookmarkStart w:id="731" w:name="_Toc469043514"/>
      <w:bookmarkStart w:id="732" w:name="_Toc469650545"/>
      <w:bookmarkStart w:id="733" w:name="_Toc472071555"/>
      <w:bookmarkStart w:id="734" w:name="_Toc472672621"/>
      <w:bookmarkStart w:id="735" w:name="_Toc473881019"/>
      <w:bookmarkStart w:id="736" w:name="_Toc474487615"/>
      <w:bookmarkStart w:id="737" w:name="_Toc475090270"/>
      <w:bookmarkStart w:id="738" w:name="_Toc475697896"/>
      <w:bookmarkStart w:id="739" w:name="_Toc476302021"/>
      <w:bookmarkStart w:id="740" w:name="_Toc476906662"/>
      <w:bookmarkStart w:id="741" w:name="_Toc28949355"/>
      <w:bookmarkStart w:id="742" w:name="_Toc29553162"/>
      <w:bookmarkStart w:id="743" w:name="_Toc31365283"/>
      <w:bookmarkStart w:id="744" w:name="_Toc31968689"/>
      <w:bookmarkStart w:id="745" w:name="_Toc33177778"/>
      <w:bookmarkStart w:id="746" w:name="_Toc33784203"/>
      <w:bookmarkStart w:id="747" w:name="_Toc34387338"/>
      <w:bookmarkStart w:id="748" w:name="_Toc34992454"/>
      <w:bookmarkStart w:id="749" w:name="_Toc36200907"/>
      <w:bookmarkStart w:id="750" w:name="_Toc36804868"/>
      <w:bookmarkStart w:id="751" w:name="_Toc37412097"/>
      <w:bookmarkStart w:id="752" w:name="_Toc38016891"/>
      <w:bookmarkStart w:id="753" w:name="_Toc38623247"/>
      <w:bookmarkStart w:id="754" w:name="_Toc47007110"/>
      <w:bookmarkStart w:id="755" w:name="_Toc47608053"/>
      <w:bookmarkStart w:id="756" w:name="_Toc48219511"/>
      <w:bookmarkStart w:id="757" w:name="_Toc48816714"/>
      <w:bookmarkStart w:id="758" w:name="_Toc49427955"/>
      <w:bookmarkStart w:id="759" w:name="_Toc50027104"/>
      <w:bookmarkStart w:id="760" w:name="_Toc50638513"/>
      <w:bookmarkStart w:id="761" w:name="_Toc51235703"/>
      <w:bookmarkStart w:id="762" w:name="_Toc51848409"/>
      <w:bookmarkStart w:id="763" w:name="_Toc52453555"/>
      <w:bookmarkStart w:id="764" w:name="_Toc53055806"/>
      <w:bookmarkStart w:id="765" w:name="_Toc53660727"/>
      <w:bookmarkStart w:id="766" w:name="_Toc54259226"/>
      <w:bookmarkStart w:id="767" w:name="_Toc54865641"/>
      <w:bookmarkStart w:id="768" w:name="_Toc55477670"/>
      <w:bookmarkStart w:id="769" w:name="_Toc56073558"/>
      <w:bookmarkStart w:id="770" w:name="_Toc56678766"/>
      <w:bookmarkStart w:id="771" w:name="_Toc57284477"/>
      <w:bookmarkStart w:id="772" w:name="_Toc57895625"/>
      <w:bookmarkStart w:id="773" w:name="_Toc58494291"/>
      <w:bookmarkStart w:id="774" w:name="_Toc59104493"/>
      <w:bookmarkStart w:id="775" w:name="_Toc60922251"/>
      <w:bookmarkStart w:id="776" w:name="_Toc61518219"/>
      <w:bookmarkStart w:id="777" w:name="_Toc62129063"/>
      <w:bookmarkStart w:id="778" w:name="_Toc62734941"/>
      <w:bookmarkStart w:id="779" w:name="_Toc63333216"/>
      <w:bookmarkStart w:id="780" w:name="_Toc65152053"/>
      <w:bookmarkStart w:id="781" w:name="_Toc65759405"/>
      <w:bookmarkStart w:id="782" w:name="_Toc66363544"/>
      <w:bookmarkStart w:id="783" w:name="_Toc66960052"/>
      <w:bookmarkStart w:id="784" w:name="_Toc67652149"/>
      <w:bookmarkStart w:id="785" w:name="_Toc68179924"/>
      <w:bookmarkStart w:id="786" w:name="_Toc68774151"/>
      <w:bookmarkStart w:id="787" w:name="_Toc69386918"/>
      <w:bookmarkStart w:id="788" w:name="_Toc69991772"/>
      <w:bookmarkStart w:id="789" w:name="_Toc70509844"/>
      <w:bookmarkStart w:id="790" w:name="_Toc71207400"/>
      <w:bookmarkStart w:id="791" w:name="_Toc71799309"/>
      <w:bookmarkStart w:id="792" w:name="_Toc72414979"/>
      <w:bookmarkStart w:id="793" w:name="_Toc73015458"/>
      <w:bookmarkStart w:id="794" w:name="_Toc73618181"/>
      <w:bookmarkStart w:id="795" w:name="_Toc74224515"/>
      <w:bookmarkStart w:id="796" w:name="_Toc74836034"/>
      <w:bookmarkStart w:id="797" w:name="_Toc75439627"/>
      <w:bookmarkStart w:id="798" w:name="_Toc76033393"/>
      <w:bookmarkStart w:id="799" w:name="_Toc76568187"/>
      <w:bookmarkStart w:id="800" w:name="_Toc7724982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7C5D993" w14:textId="77777777" w:rsidR="00C8074A" w:rsidRDefault="00C8074A" w:rsidP="00C8074A">
      <w:pPr>
        <w:spacing w:after="161" w:line="240" w:lineRule="auto"/>
        <w:outlineLvl w:val="0"/>
        <w:rPr>
          <w:rFonts w:ascii="Times New Roman" w:eastAsia="Times New Roman" w:hAnsi="Times New Roman" w:cs="Times New Roman"/>
          <w:color w:val="000000"/>
          <w:kern w:val="36"/>
          <w:sz w:val="45"/>
          <w:szCs w:val="45"/>
        </w:rPr>
      </w:pPr>
      <w:bookmarkStart w:id="801" w:name="_Toc194671400"/>
      <w:bookmarkStart w:id="802" w:name="_Toc195192236"/>
      <w:bookmarkStart w:id="803" w:name="_Toc195795578"/>
      <w:bookmarkStart w:id="804" w:name="_Toc196395805"/>
      <w:bookmarkStart w:id="805" w:name="_Toc197596764"/>
      <w:bookmarkStart w:id="806" w:name="_Toc198210652"/>
      <w:bookmarkStart w:id="807" w:name="_Toc463600478"/>
      <w:bookmarkStart w:id="808" w:name="_Toc464205364"/>
      <w:bookmarkStart w:id="809" w:name="_Toc464808177"/>
      <w:bookmarkStart w:id="810" w:name="_Toc465341597"/>
      <w:bookmarkStart w:id="811" w:name="_Toc466017262"/>
      <w:bookmarkStart w:id="812" w:name="_Toc466625790"/>
      <w:bookmarkStart w:id="813" w:name="_Toc467231593"/>
      <w:bookmarkStart w:id="814" w:name="_Toc467832931"/>
      <w:bookmarkStart w:id="815" w:name="_Toc468440618"/>
      <w:bookmarkStart w:id="816" w:name="_Toc469043519"/>
      <w:bookmarkStart w:id="817" w:name="_Toc469650550"/>
      <w:bookmarkStart w:id="818" w:name="_Toc472071560"/>
      <w:bookmarkStart w:id="819" w:name="_Toc472672626"/>
      <w:bookmarkStart w:id="820" w:name="_Toc473881024"/>
      <w:bookmarkStart w:id="821" w:name="_Toc474487619"/>
      <w:bookmarkStart w:id="822" w:name="_Toc475090275"/>
      <w:bookmarkStart w:id="823" w:name="_Toc475697901"/>
      <w:bookmarkStart w:id="824" w:name="_Toc476302026"/>
      <w:bookmarkStart w:id="825" w:name="_Toc476906667"/>
      <w:bookmarkStart w:id="826" w:name="_Toc477510757"/>
      <w:bookmarkStart w:id="827" w:name="_Toc478116129"/>
      <w:bookmarkStart w:id="828" w:name="_Toc478723302"/>
      <w:bookmarkStart w:id="829" w:name="_Toc479329721"/>
      <w:bookmarkStart w:id="830" w:name="_Toc479930335"/>
      <w:bookmarkStart w:id="831" w:name="_Toc480539779"/>
      <w:bookmarkStart w:id="832" w:name="_Toc481140005"/>
      <w:bookmarkStart w:id="833" w:name="_Toc482351765"/>
      <w:bookmarkStart w:id="834" w:name="_Toc482956642"/>
      <w:bookmarkStart w:id="835" w:name="_Toc484166274"/>
      <w:bookmarkStart w:id="836" w:name="_Toc484769044"/>
      <w:bookmarkStart w:id="837" w:name="_Toc485286973"/>
      <w:bookmarkStart w:id="838" w:name="_Toc485978057"/>
      <w:bookmarkStart w:id="839" w:name="_Toc486585208"/>
      <w:bookmarkStart w:id="840" w:name="_Toc487190859"/>
      <w:bookmarkStart w:id="841" w:name="_Toc487793137"/>
      <w:bookmarkStart w:id="842" w:name="_Toc488396115"/>
      <w:bookmarkStart w:id="843" w:name="_Toc489005367"/>
      <w:bookmarkStart w:id="844" w:name="_Toc489606931"/>
      <w:bookmarkStart w:id="845" w:name="_Toc490213913"/>
      <w:bookmarkStart w:id="846" w:name="_Toc490819138"/>
      <w:bookmarkStart w:id="847" w:name="_Toc491423502"/>
      <w:bookmarkStart w:id="848" w:name="_Toc492024950"/>
      <w:bookmarkStart w:id="849" w:name="_Toc492631844"/>
      <w:bookmarkStart w:id="850" w:name="_Toc493236274"/>
      <w:bookmarkStart w:id="851" w:name="_Toc493837679"/>
      <w:bookmarkStart w:id="852" w:name="_Toc495050086"/>
      <w:bookmarkStart w:id="853" w:name="_Toc495652591"/>
      <w:bookmarkStart w:id="854" w:name="_Toc496261443"/>
      <w:bookmarkStart w:id="855" w:name="_Toc496867238"/>
      <w:bookmarkStart w:id="856" w:name="_Toc497465801"/>
      <w:bookmarkStart w:id="857" w:name="_Toc498081902"/>
      <w:bookmarkStart w:id="858" w:name="_Toc498682160"/>
      <w:bookmarkStart w:id="859" w:name="_Toc499287557"/>
      <w:bookmarkStart w:id="860" w:name="_Toc499891999"/>
      <w:bookmarkStart w:id="861" w:name="_Toc500496799"/>
      <w:bookmarkStart w:id="862" w:name="_Toc501099743"/>
      <w:bookmarkStart w:id="863" w:name="_Toc501705026"/>
      <w:bookmarkStart w:id="864" w:name="_Toc532560727"/>
      <w:bookmarkStart w:id="865" w:name="_Toc533156853"/>
      <w:bookmarkStart w:id="866" w:name="_Toc533775406"/>
      <w:bookmarkStart w:id="867" w:name="_Toc534372214"/>
      <w:bookmarkStart w:id="868" w:name="_Toc534972014"/>
      <w:bookmarkStart w:id="869" w:name="_Toc535582786"/>
      <w:bookmarkStart w:id="870" w:name="_Toc536187108"/>
      <w:bookmarkStart w:id="871" w:name="_Toc536785396"/>
      <w:bookmarkStart w:id="872" w:name="_Toc1130214"/>
      <w:bookmarkStart w:id="873" w:name="_Toc1727990"/>
      <w:bookmarkStart w:id="874" w:name="_Toc2333101"/>
      <w:bookmarkStart w:id="875" w:name="_Toc2937890"/>
      <w:bookmarkStart w:id="876" w:name="_Toc3543100"/>
      <w:bookmarkStart w:id="877" w:name="_Toc4146395"/>
      <w:bookmarkStart w:id="878" w:name="_Toc4758763"/>
      <w:bookmarkStart w:id="879" w:name="_Toc5357731"/>
      <w:bookmarkStart w:id="880" w:name="_Toc5961968"/>
      <w:bookmarkStart w:id="881" w:name="_Toc6565244"/>
      <w:bookmarkStart w:id="882" w:name="_Toc7172948"/>
      <w:bookmarkStart w:id="883" w:name="_Toc7776795"/>
      <w:bookmarkStart w:id="884" w:name="_Toc8385543"/>
      <w:bookmarkStart w:id="885" w:name="_Toc8986694"/>
      <w:bookmarkStart w:id="886" w:name="_Toc9591448"/>
      <w:bookmarkStart w:id="887" w:name="_Toc10800783"/>
      <w:bookmarkStart w:id="888" w:name="_Toc11403503"/>
      <w:bookmarkStart w:id="889" w:name="_Toc12010889"/>
      <w:bookmarkStart w:id="890" w:name="_Toc12614888"/>
      <w:bookmarkStart w:id="891" w:name="_Toc13219390"/>
      <w:bookmarkStart w:id="892" w:name="_Toc13830741"/>
      <w:bookmarkStart w:id="893" w:name="_Toc14429416"/>
      <w:bookmarkStart w:id="894" w:name="_Toc15034925"/>
      <w:bookmarkStart w:id="895" w:name="_Toc15638242"/>
      <w:bookmarkStart w:id="896" w:name="_Toc16243824"/>
      <w:bookmarkStart w:id="897" w:name="_Toc17453996"/>
      <w:bookmarkStart w:id="898" w:name="_Toc18058964"/>
      <w:bookmarkStart w:id="899" w:name="_Toc18664192"/>
      <w:bookmarkStart w:id="900" w:name="_Toc19268596"/>
      <w:bookmarkStart w:id="901" w:name="_Toc19868202"/>
      <w:bookmarkStart w:id="902" w:name="_Toc20476484"/>
      <w:bookmarkStart w:id="903" w:name="_Toc21082718"/>
      <w:bookmarkStart w:id="904" w:name="_Toc21596850"/>
      <w:bookmarkStart w:id="905" w:name="_Toc22292250"/>
      <w:bookmarkStart w:id="906" w:name="_Toc22902075"/>
      <w:bookmarkStart w:id="907" w:name="_Toc23500788"/>
      <w:bookmarkStart w:id="908" w:name="_Toc24106272"/>
      <w:bookmarkStart w:id="909" w:name="_Toc24708421"/>
      <w:bookmarkStart w:id="910" w:name="_Toc25235416"/>
      <w:bookmarkStart w:id="911" w:name="_Toc25920246"/>
      <w:bookmarkStart w:id="912" w:name="_Toc26524523"/>
      <w:bookmarkStart w:id="913" w:name="_Toc27130360"/>
      <w:bookmarkStart w:id="914" w:name="_Toc28949359"/>
      <w:bookmarkStart w:id="915" w:name="_Toc29553166"/>
      <w:bookmarkStart w:id="916" w:name="_Toc31365286"/>
      <w:bookmarkStart w:id="917" w:name="_Toc31968693"/>
      <w:bookmarkStart w:id="918" w:name="_Toc33177783"/>
      <w:bookmarkStart w:id="919" w:name="_Toc33784207"/>
      <w:bookmarkStart w:id="920" w:name="_Toc34387343"/>
      <w:bookmarkStart w:id="921" w:name="_Toc34992458"/>
      <w:bookmarkStart w:id="922" w:name="_Toc36200910"/>
      <w:bookmarkStart w:id="923" w:name="_Toc36804871"/>
      <w:bookmarkStart w:id="924" w:name="_Toc37412100"/>
      <w:bookmarkStart w:id="925" w:name="_Toc38016894"/>
      <w:bookmarkStart w:id="926" w:name="_Toc38623250"/>
      <w:bookmarkStart w:id="927" w:name="_Toc47007114"/>
      <w:bookmarkStart w:id="928" w:name="_Toc47608057"/>
      <w:bookmarkStart w:id="929" w:name="_Toc48219516"/>
      <w:bookmarkStart w:id="930" w:name="_Toc48816719"/>
      <w:bookmarkStart w:id="931" w:name="_Toc49427958"/>
      <w:bookmarkStart w:id="932" w:name="_Toc50027108"/>
      <w:bookmarkStart w:id="933" w:name="_Toc50638516"/>
      <w:bookmarkStart w:id="934" w:name="_Toc51235723"/>
      <w:bookmarkStart w:id="935" w:name="_Toc51848412"/>
      <w:bookmarkStart w:id="936" w:name="_Toc52453558"/>
      <w:bookmarkStart w:id="937" w:name="_Toc53055809"/>
      <w:bookmarkStart w:id="938" w:name="_Toc53660731"/>
      <w:bookmarkStart w:id="939" w:name="_Toc54259231"/>
      <w:bookmarkStart w:id="940" w:name="_Toc54865648"/>
      <w:bookmarkStart w:id="941" w:name="_Toc55477675"/>
      <w:bookmarkStart w:id="942" w:name="_Toc56073562"/>
      <w:bookmarkStart w:id="943" w:name="_Toc56678769"/>
      <w:bookmarkStart w:id="944" w:name="_Toc57284480"/>
      <w:bookmarkStart w:id="945" w:name="_Toc57895630"/>
      <w:bookmarkStart w:id="946" w:name="_Toc58494294"/>
      <w:bookmarkStart w:id="947" w:name="_Toc59104496"/>
      <w:bookmarkStart w:id="948" w:name="_Toc60922256"/>
      <w:bookmarkStart w:id="949" w:name="_Toc61518222"/>
      <w:bookmarkStart w:id="950" w:name="_Toc62129066"/>
      <w:bookmarkStart w:id="951" w:name="_Toc62734944"/>
      <w:bookmarkStart w:id="952" w:name="_Toc63333219"/>
      <w:bookmarkStart w:id="953" w:name="_Toc65152056"/>
      <w:bookmarkStart w:id="954" w:name="_Toc65759412"/>
      <w:bookmarkStart w:id="955" w:name="_Toc66363552"/>
      <w:bookmarkStart w:id="956" w:name="_Toc66960055"/>
      <w:bookmarkStart w:id="957" w:name="_Toc67652153"/>
      <w:bookmarkStart w:id="958" w:name="_Toc68179927"/>
      <w:bookmarkStart w:id="959" w:name="_Toc68774156"/>
      <w:bookmarkStart w:id="960" w:name="_Toc69386922"/>
      <w:bookmarkStart w:id="961" w:name="_Toc69991775"/>
      <w:bookmarkStart w:id="962" w:name="_Toc70509847"/>
      <w:bookmarkStart w:id="963" w:name="_Toc71207403"/>
      <w:bookmarkStart w:id="964" w:name="_Toc71799314"/>
      <w:bookmarkStart w:id="965" w:name="_Toc72414983"/>
      <w:bookmarkStart w:id="966" w:name="_Toc73015461"/>
      <w:bookmarkStart w:id="967" w:name="_Toc73618184"/>
      <w:bookmarkStart w:id="968" w:name="_Toc74224519"/>
      <w:bookmarkStart w:id="969" w:name="_Toc74836038"/>
      <w:bookmarkStart w:id="970" w:name="_Toc75439630"/>
      <w:bookmarkStart w:id="971" w:name="_Toc76033397"/>
      <w:bookmarkStart w:id="972" w:name="_Toc76568190"/>
      <w:bookmarkStart w:id="973" w:name="_Toc77249830"/>
      <w:bookmarkStart w:id="974" w:name="_Toc77848125"/>
      <w:bookmarkStart w:id="975" w:name="_Toc78458420"/>
      <w:bookmarkStart w:id="976" w:name="_Toc79065743"/>
      <w:bookmarkStart w:id="977" w:name="_Toc79674836"/>
      <w:bookmarkStart w:id="978" w:name="_Toc80967359"/>
      <w:bookmarkStart w:id="979" w:name="_Toc82098811"/>
      <w:bookmarkStart w:id="980" w:name="_Toc82697213"/>
      <w:bookmarkStart w:id="981" w:name="_Toc83296675"/>
      <w:bookmarkStart w:id="982" w:name="_Toc83896636"/>
      <w:bookmarkStart w:id="983" w:name="_Toc84511081"/>
      <w:bookmarkStart w:id="984" w:name="_Toc85126363"/>
      <w:bookmarkStart w:id="985" w:name="_Toc85726072"/>
      <w:bookmarkStart w:id="986" w:name="_Toc86326960"/>
      <w:bookmarkStart w:id="987" w:name="_Toc86928734"/>
      <w:bookmarkStart w:id="988" w:name="_Toc87533870"/>
      <w:bookmarkStart w:id="989" w:name="_Toc88139984"/>
      <w:bookmarkStart w:id="990" w:name="_Toc88827430"/>
      <w:bookmarkStart w:id="991" w:name="_Toc89348607"/>
      <w:bookmarkStart w:id="992" w:name="_Toc89954367"/>
      <w:bookmarkStart w:id="993" w:name="_Toc90547137"/>
      <w:bookmarkStart w:id="994" w:name="_Toc91162885"/>
      <w:bookmarkStart w:id="995" w:name="_Toc92977897"/>
      <w:bookmarkStart w:id="996" w:name="_Toc93582841"/>
      <w:bookmarkStart w:id="997" w:name="_Toc94185887"/>
      <w:bookmarkStart w:id="998" w:name="_Toc124758948"/>
      <w:bookmarkStart w:id="999" w:name="_Toc126243204"/>
      <w:bookmarkStart w:id="1000" w:name="_Toc126844380"/>
      <w:bookmarkStart w:id="1001" w:name="_Toc127449241"/>
      <w:bookmarkStart w:id="1002" w:name="_Toc128057353"/>
      <w:bookmarkStart w:id="1003" w:name="_Toc128657904"/>
      <w:bookmarkStart w:id="1004" w:name="_Toc129265050"/>
      <w:bookmarkStart w:id="1005" w:name="_Toc129869294"/>
      <w:bookmarkStart w:id="1006" w:name="_Toc130472596"/>
      <w:bookmarkStart w:id="1007" w:name="_Toc131080434"/>
      <w:bookmarkStart w:id="1008" w:name="_Toc131684267"/>
      <w:bookmarkStart w:id="1009" w:name="_Toc132288745"/>
      <w:bookmarkStart w:id="1010" w:name="_Toc132880400"/>
      <w:bookmarkStart w:id="1011" w:name="_Toc133498220"/>
      <w:bookmarkStart w:id="1012" w:name="_Toc134108014"/>
      <w:bookmarkStart w:id="1013" w:name="_Toc134709557"/>
      <w:bookmarkStart w:id="1014" w:name="_Toc134709708"/>
      <w:bookmarkStart w:id="1015" w:name="_Toc135315977"/>
      <w:bookmarkStart w:id="1016" w:name="_Toc135915566"/>
      <w:bookmarkStart w:id="1017" w:name="_Toc136526496"/>
      <w:bookmarkStart w:id="1018" w:name="_Toc137126054"/>
      <w:bookmarkStart w:id="1019" w:name="_Toc137733679"/>
      <w:bookmarkStart w:id="1020" w:name="_Toc138336645"/>
      <w:bookmarkStart w:id="1021" w:name="_Toc138940632"/>
      <w:bookmarkStart w:id="1022" w:name="_Toc139544026"/>
      <w:bookmarkStart w:id="1023" w:name="_Toc140151837"/>
      <w:bookmarkStart w:id="1024" w:name="_Toc140757914"/>
      <w:bookmarkStart w:id="1025" w:name="_Toc141359491"/>
      <w:bookmarkStart w:id="1026" w:name="_Toc141965603"/>
      <w:bookmarkStart w:id="1027" w:name="_Toc142569952"/>
      <w:bookmarkStart w:id="1028" w:name="_Toc143175010"/>
      <w:bookmarkStart w:id="1029" w:name="_Toc143779707"/>
      <w:bookmarkStart w:id="1030" w:name="_Toc144384336"/>
      <w:bookmarkStart w:id="1031" w:name="_Toc144991148"/>
      <w:bookmarkStart w:id="1032" w:name="_Toc145601276"/>
      <w:bookmarkStart w:id="1033" w:name="_Toc146205298"/>
      <w:bookmarkStart w:id="1034" w:name="_Toc146808608"/>
      <w:bookmarkStart w:id="1035" w:name="_Toc147412066"/>
      <w:bookmarkStart w:id="1036" w:name="_Toc148007948"/>
      <w:bookmarkStart w:id="1037" w:name="_Toc148621880"/>
      <w:bookmarkStart w:id="1038" w:name="_Toc149228687"/>
      <w:bookmarkStart w:id="1039" w:name="_Toc149826963"/>
      <w:bookmarkStart w:id="1040" w:name="_Toc434571325"/>
      <w:bookmarkStart w:id="1041" w:name="_Toc435172631"/>
      <w:bookmarkStart w:id="1042" w:name="_Toc435779455"/>
      <w:bookmarkStart w:id="1043" w:name="_Toc436380895"/>
      <w:bookmarkStart w:id="1044" w:name="_Toc431546396"/>
      <w:bookmarkStart w:id="1045" w:name="_Toc432151538"/>
      <w:bookmarkStart w:id="1046" w:name="_Toc432755921"/>
      <w:bookmarkStart w:id="1047" w:name="_Toc433361392"/>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25B12533" w14:textId="379DB216" w:rsidR="00EA245E" w:rsidRPr="00EA245E" w:rsidRDefault="00EA245E" w:rsidP="00C8074A">
      <w:pPr>
        <w:spacing w:after="161" w:line="288" w:lineRule="auto"/>
        <w:jc w:val="both"/>
        <w:outlineLvl w:val="0"/>
        <w:rPr>
          <w:rFonts w:ascii="Aptos" w:eastAsia="Times New Roman" w:hAnsi="Aptos" w:cs="Times New Roman"/>
          <w:b/>
          <w:bCs/>
          <w:color w:val="002060"/>
          <w:kern w:val="36"/>
          <w:sz w:val="28"/>
          <w:szCs w:val="28"/>
        </w:rPr>
      </w:pPr>
      <w:bookmarkStart w:id="1048" w:name="_Toc216965803"/>
      <w:proofErr w:type="spellStart"/>
      <w:r w:rsidRPr="00EA245E">
        <w:rPr>
          <w:rFonts w:ascii="Aptos" w:eastAsia="Times New Roman" w:hAnsi="Aptos" w:cs="Times New Roman"/>
          <w:b/>
          <w:bCs/>
          <w:color w:val="002060"/>
          <w:kern w:val="36"/>
          <w:sz w:val="28"/>
          <w:szCs w:val="28"/>
        </w:rPr>
        <w:t>Kolon</w:t>
      </w:r>
      <w:proofErr w:type="spellEnd"/>
      <w:r w:rsidRPr="00EA245E">
        <w:rPr>
          <w:rFonts w:ascii="Aptos" w:eastAsia="Times New Roman" w:hAnsi="Aptos" w:cs="Times New Roman"/>
          <w:b/>
          <w:bCs/>
          <w:color w:val="002060"/>
          <w:kern w:val="36"/>
          <w:sz w:val="28"/>
          <w:szCs w:val="28"/>
        </w:rPr>
        <w:t xml:space="preserve"> signs $48 million airbag supply deal with Autoliv</w:t>
      </w:r>
      <w:bookmarkEnd w:id="1048"/>
    </w:p>
    <w:p w14:paraId="0231F4E7" w14:textId="31D44667" w:rsidR="00EA245E" w:rsidRPr="00C8074A" w:rsidRDefault="00C8074A" w:rsidP="00C8074A">
      <w:pPr>
        <w:spacing w:after="150" w:line="288" w:lineRule="auto"/>
        <w:jc w:val="both"/>
        <w:rPr>
          <w:rFonts w:ascii="Aptos" w:eastAsia="Times New Roman" w:hAnsi="Aptos" w:cs="Times New Roman"/>
          <w:i/>
          <w:iCs/>
          <w:color w:val="002060"/>
          <w:sz w:val="18"/>
          <w:szCs w:val="18"/>
        </w:rPr>
      </w:pPr>
      <w:r w:rsidRPr="00C8074A">
        <w:rPr>
          <w:rFonts w:ascii="Aptos" w:eastAsia="Times New Roman" w:hAnsi="Aptos" w:cs="Times New Roman"/>
          <w:i/>
          <w:iCs/>
          <w:color w:val="002060"/>
          <w:sz w:val="18"/>
          <w:szCs w:val="18"/>
        </w:rPr>
        <w:t>VIR</w:t>
      </w:r>
    </w:p>
    <w:p w14:paraId="6341C1E6" w14:textId="77777777" w:rsidR="00C8074A" w:rsidRPr="00EA245E" w:rsidRDefault="00C8074A" w:rsidP="00C8074A">
      <w:pPr>
        <w:spacing w:after="150" w:line="288" w:lineRule="auto"/>
        <w:jc w:val="both"/>
        <w:rPr>
          <w:rFonts w:ascii="Aptos" w:eastAsia="Times New Roman" w:hAnsi="Aptos" w:cs="Times New Roman"/>
          <w:color w:val="002060"/>
        </w:rPr>
      </w:pPr>
    </w:p>
    <w:p w14:paraId="518CE090" w14:textId="77777777" w:rsidR="00EA245E" w:rsidRPr="00EA245E" w:rsidRDefault="00EA245E" w:rsidP="00C8074A">
      <w:pPr>
        <w:spacing w:after="150" w:line="288" w:lineRule="auto"/>
        <w:jc w:val="both"/>
        <w:rPr>
          <w:rFonts w:ascii="Aptos" w:eastAsia="Times New Roman" w:hAnsi="Aptos" w:cs="Times New Roman"/>
          <w:color w:val="002060"/>
        </w:rPr>
      </w:pP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strengthens ties with Autoliv through a long-term supply agreement, boosting airbag material production for global markets.</w:t>
      </w:r>
    </w:p>
    <w:p w14:paraId="7A774E7F"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On December 8, South Korea’s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signed a long-term supply contract with Autoliv, the world’s largest vehicle safety parts company. The agreement follows an MoU signed in April, under which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committed to increasing supplies of airbag materials.</w:t>
      </w:r>
    </w:p>
    <w:p w14:paraId="4E0B6502"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In accordance with the contract, </w:t>
      </w:r>
      <w:proofErr w:type="spellStart"/>
      <w:r w:rsidRPr="00EA245E">
        <w:rPr>
          <w:rFonts w:ascii="Aptos" w:eastAsia="Times New Roman" w:hAnsi="Aptos" w:cs="Times New Roman"/>
          <w:color w:val="002060"/>
        </w:rPr>
        <w:fldChar w:fldCharType="begin"/>
      </w:r>
      <w:r w:rsidRPr="00EA245E">
        <w:rPr>
          <w:rFonts w:ascii="Aptos" w:eastAsia="Times New Roman" w:hAnsi="Aptos" w:cs="Times New Roman"/>
          <w:color w:val="002060"/>
        </w:rPr>
        <w:instrText>HYPERLINK "https://vir.com.vn/search_enginer.html?p=search&amp;q=Kolon%20Industries"</w:instrText>
      </w:r>
      <w:r w:rsidRPr="00EA245E">
        <w:rPr>
          <w:rFonts w:ascii="Aptos" w:eastAsia="Times New Roman" w:hAnsi="Aptos" w:cs="Times New Roman"/>
          <w:color w:val="002060"/>
        </w:rPr>
      </w:r>
      <w:r w:rsidRPr="00EA245E">
        <w:rPr>
          <w:rFonts w:ascii="Aptos" w:eastAsia="Times New Roman" w:hAnsi="Aptos" w:cs="Times New Roman"/>
          <w:color w:val="002060"/>
        </w:rPr>
        <w:fldChar w:fldCharType="separate"/>
      </w:r>
      <w:r w:rsidRPr="00EA245E">
        <w:rPr>
          <w:rFonts w:ascii="Aptos" w:eastAsia="Times New Roman" w:hAnsi="Aptos" w:cs="Times New Roman"/>
          <w:color w:val="002060"/>
          <w:u w:val="single"/>
        </w:rPr>
        <w:t>Kolon</w:t>
      </w:r>
      <w:proofErr w:type="spellEnd"/>
      <w:r w:rsidRPr="00EA245E">
        <w:rPr>
          <w:rFonts w:ascii="Aptos" w:eastAsia="Times New Roman" w:hAnsi="Aptos" w:cs="Times New Roman"/>
          <w:color w:val="002060"/>
          <w:u w:val="single"/>
        </w:rPr>
        <w:t xml:space="preserve"> Industries</w:t>
      </w:r>
      <w:r w:rsidRPr="00EA245E">
        <w:rPr>
          <w:rFonts w:ascii="Aptos" w:eastAsia="Times New Roman" w:hAnsi="Aptos" w:cs="Times New Roman"/>
          <w:color w:val="002060"/>
        </w:rPr>
        <w:fldChar w:fldCharType="end"/>
      </w:r>
      <w:r w:rsidRPr="00EA245E">
        <w:rPr>
          <w:rFonts w:ascii="Aptos" w:eastAsia="Times New Roman" w:hAnsi="Aptos" w:cs="Times New Roman"/>
          <w:color w:val="002060"/>
        </w:rPr>
        <w:t> will build a new airbag material production facility in Vietnam, which will commence operation from 2028 with the latest production technology. The facility is estimated to have an investment capital of approximately $48 million.</w:t>
      </w:r>
    </w:p>
    <w:p w14:paraId="262ED5C5"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Autoliv is an automotive safety supplier that manufactures systems including airbags, seatbelts, and steering wheels for all major brands.</w:t>
      </w:r>
    </w:p>
    <w:p w14:paraId="6DCBAA73"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Meanwhile,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is operating a plant in Vietnam, </w:t>
      </w:r>
      <w:proofErr w:type="spellStart"/>
      <w:r w:rsidRPr="00EA245E">
        <w:rPr>
          <w:rFonts w:ascii="Aptos" w:eastAsia="Times New Roman" w:hAnsi="Aptos" w:cs="Times New Roman"/>
          <w:color w:val="002060"/>
        </w:rPr>
        <w:t>specialising</w:t>
      </w:r>
      <w:proofErr w:type="spellEnd"/>
      <w:r w:rsidRPr="00EA245E">
        <w:rPr>
          <w:rFonts w:ascii="Aptos" w:eastAsia="Times New Roman" w:hAnsi="Aptos" w:cs="Times New Roman"/>
          <w:color w:val="002060"/>
        </w:rPr>
        <w:t xml:space="preserve"> in producing airbag cushions. With the new investment,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will have a fully integrated airbag manufacturing operation in Vietnam, including both fabric and airbag production.</w:t>
      </w:r>
    </w:p>
    <w:p w14:paraId="3956ED59"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lastRenderedPageBreak/>
        <w:t>As reported by South Korea's Yonhap News, the new plant is expected to generate more than $33.8 million in annual sales upon operation in 2030.</w:t>
      </w:r>
    </w:p>
    <w:p w14:paraId="56DC34A4" w14:textId="77777777" w:rsidR="00EA245E" w:rsidRPr="00EA245E" w:rsidRDefault="00EA245E" w:rsidP="00C8074A">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Huh Sung, CEO of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said, "This long-term supply deal demonstrates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automotive materials capabilities are </w:t>
      </w:r>
      <w:proofErr w:type="spellStart"/>
      <w:r w:rsidRPr="00EA245E">
        <w:rPr>
          <w:rFonts w:ascii="Aptos" w:eastAsia="Times New Roman" w:hAnsi="Aptos" w:cs="Times New Roman"/>
          <w:color w:val="002060"/>
        </w:rPr>
        <w:t>recognised</w:t>
      </w:r>
      <w:proofErr w:type="spellEnd"/>
      <w:r w:rsidRPr="00EA245E">
        <w:rPr>
          <w:rFonts w:ascii="Aptos" w:eastAsia="Times New Roman" w:hAnsi="Aptos" w:cs="Times New Roman"/>
          <w:color w:val="002060"/>
        </w:rPr>
        <w:t xml:space="preserve"> globally. We will supply world-class airbag materials to Autoliv, one of our most important customers."</w:t>
      </w:r>
    </w:p>
    <w:p w14:paraId="58DC5217" w14:textId="77777777" w:rsidR="00EA245E" w:rsidRPr="00EA245E" w:rsidRDefault="00EA245E" w:rsidP="00C8074A">
      <w:pPr>
        <w:spacing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Christian </w:t>
      </w:r>
      <w:proofErr w:type="spellStart"/>
      <w:r w:rsidRPr="00EA245E">
        <w:rPr>
          <w:rFonts w:ascii="Aptos" w:eastAsia="Times New Roman" w:hAnsi="Aptos" w:cs="Times New Roman"/>
          <w:color w:val="002060"/>
        </w:rPr>
        <w:t>Swahn</w:t>
      </w:r>
      <w:proofErr w:type="spellEnd"/>
      <w:r w:rsidRPr="00EA245E">
        <w:rPr>
          <w:rFonts w:ascii="Aptos" w:eastAsia="Times New Roman" w:hAnsi="Aptos" w:cs="Times New Roman"/>
          <w:color w:val="002060"/>
        </w:rPr>
        <w:t>, executive vice president of Autoliv, said, "</w:t>
      </w:r>
      <w:proofErr w:type="spellStart"/>
      <w:r w:rsidRPr="00EA245E">
        <w:rPr>
          <w:rFonts w:ascii="Aptos" w:eastAsia="Times New Roman" w:hAnsi="Aptos" w:cs="Times New Roman"/>
          <w:color w:val="002060"/>
        </w:rPr>
        <w:t>Kolon</w:t>
      </w:r>
      <w:proofErr w:type="spellEnd"/>
      <w:r w:rsidRPr="00EA245E">
        <w:rPr>
          <w:rFonts w:ascii="Aptos" w:eastAsia="Times New Roman" w:hAnsi="Aptos" w:cs="Times New Roman"/>
          <w:color w:val="002060"/>
        </w:rPr>
        <w:t xml:space="preserve"> Industries remains one of the company's most trusted partners, with production bases across Asia, China and North America. We look forward to continuing our cooperation in the future."</w:t>
      </w:r>
    </w:p>
    <w:p w14:paraId="1B240DA3" w14:textId="77777777" w:rsidR="007E4CA3" w:rsidRPr="00C8074A" w:rsidRDefault="007E4CA3" w:rsidP="00C8074A">
      <w:pPr>
        <w:spacing w:after="161" w:line="288" w:lineRule="auto"/>
        <w:jc w:val="both"/>
        <w:outlineLvl w:val="0"/>
        <w:rPr>
          <w:rFonts w:ascii="Aptos" w:eastAsia="Times New Roman" w:hAnsi="Aptos" w:cs="Times New Roman"/>
          <w:color w:val="002060"/>
          <w:kern w:val="36"/>
        </w:rPr>
      </w:pPr>
    </w:p>
    <w:p w14:paraId="184BBCC7" w14:textId="77777777" w:rsidR="00BD1642" w:rsidRPr="004C6CBE" w:rsidRDefault="00EF600B" w:rsidP="00BD1642">
      <w:pPr>
        <w:spacing w:line="288" w:lineRule="auto"/>
        <w:jc w:val="right"/>
        <w:rPr>
          <w:rStyle w:val="Hyperlink"/>
          <w:rFonts w:ascii="Aptos" w:eastAsia="Malgun Gothic" w:hAnsi="Aptos" w:cs="Times New Roman"/>
          <w:color w:val="002060"/>
        </w:rPr>
      </w:pPr>
      <w:hyperlink w:anchor="_top" w:history="1">
        <w:r w:rsidR="00BD1642" w:rsidRPr="004C6CBE">
          <w:rPr>
            <w:rStyle w:val="Hyperlink"/>
            <w:rFonts w:ascii="Aptos" w:eastAsia="Malgun Gothic" w:hAnsi="Aptos" w:cs="Times New Roman"/>
            <w:color w:val="002060"/>
          </w:rPr>
          <w:t>Back to Top</w:t>
        </w:r>
      </w:hyperlink>
    </w:p>
    <w:p w14:paraId="47ED5576" w14:textId="77777777" w:rsidR="006D25C5" w:rsidRDefault="006D25C5" w:rsidP="006D25C5">
      <w:pPr>
        <w:spacing w:before="100" w:beforeAutospacing="1" w:after="100" w:afterAutospacing="1" w:line="288" w:lineRule="auto"/>
        <w:jc w:val="both"/>
        <w:outlineLvl w:val="0"/>
        <w:rPr>
          <w:rFonts w:ascii="Aptos" w:eastAsia="Times New Roman" w:hAnsi="Aptos" w:cs="Times New Roman"/>
          <w:b/>
          <w:bCs/>
          <w:color w:val="002060"/>
          <w:kern w:val="36"/>
        </w:rPr>
      </w:pPr>
    </w:p>
    <w:p w14:paraId="4619A3CC" w14:textId="11419F14" w:rsidR="008E5B23" w:rsidRPr="006D25C5" w:rsidRDefault="008E5B23" w:rsidP="006D25C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49" w:name="_Toc216965804"/>
      <w:r w:rsidRPr="008E5B23">
        <w:rPr>
          <w:rFonts w:ascii="Aptos" w:eastAsia="Times New Roman" w:hAnsi="Aptos" w:cs="Times New Roman"/>
          <w:b/>
          <w:bCs/>
          <w:color w:val="002060"/>
          <w:kern w:val="36"/>
          <w:sz w:val="28"/>
          <w:szCs w:val="28"/>
        </w:rPr>
        <w:t>Korean firm plans to expand rare earth metal business in Vietnam</w:t>
      </w:r>
      <w:bookmarkEnd w:id="1049"/>
    </w:p>
    <w:p w14:paraId="3FD1A1A2" w14:textId="4D7F1ED0" w:rsidR="008E5B23" w:rsidRPr="006D25C5" w:rsidRDefault="008E5B23" w:rsidP="006D25C5">
      <w:pPr>
        <w:spacing w:after="0" w:line="288" w:lineRule="auto"/>
        <w:jc w:val="both"/>
        <w:rPr>
          <w:rFonts w:ascii="Aptos" w:eastAsia="Times New Roman" w:hAnsi="Aptos" w:cs="Times New Roman"/>
          <w:i/>
          <w:iCs/>
          <w:color w:val="002060"/>
          <w:sz w:val="18"/>
          <w:szCs w:val="18"/>
        </w:rPr>
      </w:pPr>
      <w:r w:rsidRPr="006D25C5">
        <w:rPr>
          <w:rFonts w:ascii="Aptos" w:eastAsia="Times New Roman" w:hAnsi="Aptos" w:cs="Times New Roman"/>
          <w:i/>
          <w:iCs/>
          <w:color w:val="002060"/>
          <w:sz w:val="18"/>
          <w:szCs w:val="18"/>
        </w:rPr>
        <w:t>VET</w:t>
      </w:r>
    </w:p>
    <w:p w14:paraId="12273A98" w14:textId="77777777" w:rsidR="009B67E8" w:rsidRPr="008E5B23" w:rsidRDefault="009B67E8" w:rsidP="006D25C5">
      <w:pPr>
        <w:spacing w:after="0" w:line="288" w:lineRule="auto"/>
        <w:jc w:val="both"/>
        <w:rPr>
          <w:rFonts w:ascii="Aptos" w:eastAsia="Times New Roman" w:hAnsi="Aptos" w:cs="Times New Roman"/>
          <w:color w:val="002060"/>
        </w:rPr>
      </w:pPr>
    </w:p>
    <w:p w14:paraId="60ADABA3" w14:textId="77777777" w:rsidR="008E5B23" w:rsidRPr="008E5B23" w:rsidRDefault="008E5B23" w:rsidP="006D25C5">
      <w:pPr>
        <w:spacing w:after="100" w:afterAutospacing="1" w:line="288" w:lineRule="auto"/>
        <w:jc w:val="both"/>
        <w:outlineLvl w:val="1"/>
        <w:rPr>
          <w:rFonts w:ascii="Aptos" w:eastAsia="Times New Roman" w:hAnsi="Aptos" w:cs="Arial"/>
          <w:b/>
          <w:bCs/>
          <w:i/>
          <w:iCs/>
          <w:color w:val="002060"/>
        </w:rPr>
      </w:pPr>
      <w:bookmarkStart w:id="1050" w:name="_Toc216965805"/>
      <w:r w:rsidRPr="008E5B23">
        <w:rPr>
          <w:rFonts w:ascii="Aptos" w:eastAsia="Times New Roman" w:hAnsi="Aptos" w:cs="Arial"/>
          <w:b/>
          <w:bCs/>
          <w:i/>
          <w:iCs/>
          <w:color w:val="002060"/>
        </w:rPr>
        <w:t>LS Eco Energy's new investment is estimated at approximately 28.5 billion KRW ($19.2 million).</w:t>
      </w:r>
      <w:bookmarkEnd w:id="1050"/>
    </w:p>
    <w:p w14:paraId="39ABDFFC" w14:textId="77777777" w:rsidR="008E5B23" w:rsidRPr="008E5B23"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 xml:space="preserve">LS Eco Energy, a company </w:t>
      </w:r>
      <w:proofErr w:type="spellStart"/>
      <w:r w:rsidRPr="008E5B23">
        <w:rPr>
          <w:rFonts w:ascii="Aptos" w:eastAsia="Times New Roman" w:hAnsi="Aptos" w:cs="Arial"/>
          <w:color w:val="002060"/>
        </w:rPr>
        <w:t>specialising</w:t>
      </w:r>
      <w:proofErr w:type="spellEnd"/>
      <w:r w:rsidRPr="008E5B23">
        <w:rPr>
          <w:rFonts w:ascii="Aptos" w:eastAsia="Times New Roman" w:hAnsi="Aptos" w:cs="Arial"/>
          <w:color w:val="002060"/>
        </w:rPr>
        <w:t xml:space="preserve"> in renewable energy and rare earth elements under the Republic of Korea (RoK)'s LS Cable &amp; System, announced on December 17 that it has approved a plan to expand its rare earth metal business in Vietnam, in a bid to seek long-term growth in the strategic materials sector, according to a report from the Vietnam News Agency.</w:t>
      </w:r>
    </w:p>
    <w:p w14:paraId="11BC99DF" w14:textId="77777777" w:rsidR="008E5B23" w:rsidRPr="008E5B23"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The new investment is estimated at approximately 28.5 billion KRW ($19.2 million).</w:t>
      </w:r>
    </w:p>
    <w:p w14:paraId="0B67BE5B" w14:textId="77777777" w:rsidR="008E5B23" w:rsidRPr="008E5B23"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The company aims to create an integrated value chain, including raw materials, rare earth oxides, and refined metals.</w:t>
      </w:r>
    </w:p>
    <w:p w14:paraId="25FE6155" w14:textId="77777777" w:rsidR="008E5B23" w:rsidRPr="008E5B23"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According to the plan, rare earth oxides supplied by global mining companies will be processed into metals at LS Eco Energy’s facilities in Vietnam, with downstream applications such as permanent magnets being produced through LS Cable &amp; System's overseas operations.</w:t>
      </w:r>
    </w:p>
    <w:p w14:paraId="2AE8BD2B" w14:textId="77777777" w:rsidR="008E5B23" w:rsidRPr="008E5B23"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LS Eco Energy intends to establish a rare earth metal refinery at LS Cable &amp; System's branch in Ho Chi Minh City (</w:t>
      </w:r>
      <w:proofErr w:type="spellStart"/>
      <w:r w:rsidRPr="008E5B23">
        <w:rPr>
          <w:rFonts w:ascii="Aptos" w:eastAsia="Times New Roman" w:hAnsi="Aptos" w:cs="Arial"/>
          <w:color w:val="002060"/>
        </w:rPr>
        <w:t>LSCV</w:t>
      </w:r>
      <w:proofErr w:type="spellEnd"/>
      <w:r w:rsidRPr="008E5B23">
        <w:rPr>
          <w:rFonts w:ascii="Aptos" w:eastAsia="Times New Roman" w:hAnsi="Aptos" w:cs="Arial"/>
          <w:color w:val="002060"/>
        </w:rPr>
        <w:t>), where it will refine rare earth oxides sourced from mining companies to produce rare earth metals. The company is currently in negotiations with several global mining firms to supply rare earths and establish a joint venture (JV). The final investment amount may be adjusted based on the JV's equity ratio and the progress of the business.</w:t>
      </w:r>
    </w:p>
    <w:p w14:paraId="46844A58" w14:textId="61D9185D" w:rsidR="007E4CA3" w:rsidRPr="006D25C5" w:rsidRDefault="008E5B23" w:rsidP="006D25C5">
      <w:pPr>
        <w:shd w:val="clear" w:color="auto" w:fill="FFFFFF"/>
        <w:spacing w:before="100" w:beforeAutospacing="1" w:after="100" w:afterAutospacing="1" w:line="288" w:lineRule="auto"/>
        <w:jc w:val="both"/>
        <w:rPr>
          <w:rFonts w:ascii="Aptos" w:eastAsia="Times New Roman" w:hAnsi="Aptos" w:cs="Arial"/>
          <w:color w:val="002060"/>
        </w:rPr>
      </w:pPr>
      <w:r w:rsidRPr="008E5B23">
        <w:rPr>
          <w:rFonts w:ascii="Aptos" w:eastAsia="Times New Roman" w:hAnsi="Aptos" w:cs="Arial"/>
          <w:color w:val="002060"/>
        </w:rPr>
        <w:t>Rare earth metals are crucial for manufacturing permanent magnets used in the motors of robots, wind turbines, and electric vehicles.</w:t>
      </w:r>
    </w:p>
    <w:bookmarkStart w:id="1051" w:name="_Toc198816068"/>
    <w:bookmarkStart w:id="1052" w:name="_Toc199419430"/>
    <w:bookmarkStart w:id="1053" w:name="_Toc200013603"/>
    <w:bookmarkStart w:id="1054" w:name="_Toc200628579"/>
    <w:bookmarkStart w:id="1055" w:name="_Toc201837361"/>
    <w:bookmarkStart w:id="1056" w:name="_Toc202445696"/>
    <w:bookmarkStart w:id="1057" w:name="_Toc203047562"/>
    <w:bookmarkStart w:id="1058" w:name="_Toc203655866"/>
    <w:bookmarkStart w:id="1059" w:name="_Toc204262804"/>
    <w:bookmarkStart w:id="1060" w:name="_Toc204862963"/>
    <w:bookmarkStart w:id="1061" w:name="_Toc205466591"/>
    <w:bookmarkStart w:id="1062" w:name="_Toc206074509"/>
    <w:bookmarkStart w:id="1063" w:name="_Toc207184403"/>
    <w:bookmarkStart w:id="1064" w:name="_Toc207888607"/>
    <w:bookmarkStart w:id="1065" w:name="_Toc208493631"/>
    <w:bookmarkStart w:id="1066" w:name="_Toc208493709"/>
    <w:bookmarkStart w:id="1067" w:name="_Toc209099453"/>
    <w:bookmarkStart w:id="1068" w:name="_Toc209702680"/>
    <w:bookmarkStart w:id="1069" w:name="_Toc210305244"/>
    <w:bookmarkStart w:id="1070" w:name="_Toc210911922"/>
    <w:bookmarkStart w:id="1071" w:name="_Toc210912014"/>
    <w:bookmarkStart w:id="1072" w:name="_Toc211518245"/>
    <w:bookmarkStart w:id="1073" w:name="_Toc212118928"/>
    <w:bookmarkStart w:id="1074" w:name="_Toc212726921"/>
    <w:bookmarkStart w:id="1075" w:name="_Toc213334257"/>
    <w:bookmarkStart w:id="1076" w:name="_Toc213924606"/>
    <w:p w14:paraId="200E648D" w14:textId="77777777" w:rsidR="00CC149E" w:rsidRPr="004C6CBE" w:rsidRDefault="00CC149E" w:rsidP="00CC149E">
      <w:pPr>
        <w:spacing w:line="288" w:lineRule="auto"/>
        <w:jc w:val="right"/>
        <w:rPr>
          <w:rStyle w:val="Hyperlink"/>
          <w:rFonts w:ascii="Aptos" w:hAnsi="Aptos"/>
          <w:color w:val="002060"/>
        </w:rPr>
      </w:pPr>
      <w:r w:rsidRPr="004C6CBE">
        <w:rPr>
          <w:rStyle w:val="Hyperlink"/>
          <w:rFonts w:ascii="Aptos" w:hAnsi="Aptos"/>
          <w:color w:val="002060"/>
        </w:rPr>
        <w:fldChar w:fldCharType="begin"/>
      </w:r>
      <w:r w:rsidRPr="004C6CBE">
        <w:rPr>
          <w:rStyle w:val="Hyperlink"/>
          <w:rFonts w:ascii="Aptos" w:hAnsi="Aptos"/>
          <w:color w:val="002060"/>
        </w:rPr>
        <w:instrText>HYPERLINK \l "_top"</w:instrText>
      </w:r>
      <w:r w:rsidRPr="004C6CBE">
        <w:rPr>
          <w:rStyle w:val="Hyperlink"/>
          <w:rFonts w:ascii="Aptos" w:hAnsi="Aptos"/>
          <w:color w:val="002060"/>
        </w:rPr>
      </w:r>
      <w:r w:rsidRPr="004C6CBE">
        <w:rPr>
          <w:rStyle w:val="Hyperlink"/>
          <w:rFonts w:ascii="Aptos" w:hAnsi="Aptos"/>
          <w:color w:val="002060"/>
        </w:rPr>
        <w:fldChar w:fldCharType="separate"/>
      </w:r>
      <w:r w:rsidRPr="004C6CBE">
        <w:rPr>
          <w:rStyle w:val="Hyperlink"/>
          <w:rFonts w:ascii="Aptos" w:eastAsia="Malgun Gothic" w:hAnsi="Aptos" w:cs="Times New Roman"/>
          <w:color w:val="002060"/>
        </w:rPr>
        <w:t>Back to Top</w:t>
      </w:r>
      <w:r w:rsidRPr="004C6CBE">
        <w:rPr>
          <w:rStyle w:val="Hyperlink"/>
          <w:rFonts w:ascii="Aptos" w:hAnsi="Aptos"/>
          <w:color w:val="002060"/>
        </w:rPr>
        <w:fldChar w:fldCharType="end"/>
      </w:r>
    </w:p>
    <w:p w14:paraId="4B5C650D" w14:textId="77777777" w:rsidR="003112A8" w:rsidRPr="004C6CBE" w:rsidRDefault="003112A8" w:rsidP="004F381D">
      <w:pPr>
        <w:pStyle w:val="Heading1"/>
        <w:shd w:val="clear" w:color="auto" w:fill="FFFFFF"/>
        <w:spacing w:before="0" w:line="288" w:lineRule="atLeast"/>
        <w:rPr>
          <w:rFonts w:ascii="Aptos" w:eastAsia="Malgun Gothic" w:hAnsi="Aptos" w:cs="Times New Roman"/>
          <w:color w:val="002060"/>
        </w:rPr>
      </w:pPr>
    </w:p>
    <w:p w14:paraId="7FB3C5F8" w14:textId="77777777" w:rsidR="007106AE" w:rsidRPr="004C6CBE" w:rsidRDefault="007106AE" w:rsidP="004F381D">
      <w:pPr>
        <w:pStyle w:val="Heading1"/>
        <w:shd w:val="clear" w:color="auto" w:fill="FFFFFF"/>
        <w:spacing w:before="0" w:line="288" w:lineRule="atLeast"/>
        <w:rPr>
          <w:rFonts w:ascii="Aptos" w:eastAsia="Malgun Gothic" w:hAnsi="Aptos" w:cs="Times New Roman"/>
          <w:color w:val="002060"/>
        </w:rPr>
      </w:pPr>
    </w:p>
    <w:p w14:paraId="56C204B0" w14:textId="4149D1A7"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077" w:name="_Toc214539948"/>
      <w:bookmarkStart w:id="1078" w:name="_Toc215144383"/>
      <w:bookmarkStart w:id="1079" w:name="_Toc215750962"/>
      <w:bookmarkStart w:id="1080" w:name="_Toc216355057"/>
      <w:bookmarkStart w:id="1081" w:name="_Toc216965806"/>
      <w:r w:rsidRPr="004C6CBE">
        <w:rPr>
          <w:rFonts w:ascii="Aptos" w:eastAsia="Malgun Gothic" w:hAnsi="Aptos" w:cs="Times New Roman"/>
          <w:color w:val="002060"/>
        </w:rPr>
        <w:t>PROPERTY</w:t>
      </w:r>
      <w:bookmarkEnd w:id="801"/>
      <w:bookmarkEnd w:id="802"/>
      <w:bookmarkEnd w:id="803"/>
      <w:bookmarkEnd w:id="804"/>
      <w:bookmarkEnd w:id="805"/>
      <w:bookmarkEnd w:id="806"/>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2FF656D4" w14:textId="77777777" w:rsidR="00974F0D" w:rsidRPr="00974F0D" w:rsidRDefault="00974F0D" w:rsidP="00974F0D"/>
    <w:p w14:paraId="74D96EB5" w14:textId="186DC16F" w:rsidR="00974F0D" w:rsidRPr="00974F0D" w:rsidRDefault="00974F0D" w:rsidP="00974F0D">
      <w:pPr>
        <w:spacing w:after="150" w:line="288" w:lineRule="auto"/>
        <w:jc w:val="both"/>
        <w:outlineLvl w:val="0"/>
        <w:rPr>
          <w:rFonts w:ascii="Aptos" w:eastAsia="Times New Roman" w:hAnsi="Aptos" w:cs="Times New Roman"/>
          <w:b/>
          <w:bCs/>
          <w:color w:val="002060"/>
          <w:kern w:val="36"/>
          <w:sz w:val="28"/>
          <w:szCs w:val="28"/>
        </w:rPr>
      </w:pPr>
      <w:bookmarkStart w:id="1082" w:name="_Toc216965807"/>
      <w:r w:rsidRPr="00974F0D">
        <w:rPr>
          <w:rFonts w:ascii="Aptos" w:eastAsia="Times New Roman" w:hAnsi="Aptos" w:cs="Times New Roman"/>
          <w:b/>
          <w:bCs/>
          <w:color w:val="002060"/>
          <w:kern w:val="36"/>
          <w:sz w:val="28"/>
          <w:szCs w:val="28"/>
        </w:rPr>
        <w:t>PM reviews social housing and property market progress, sets tasks for future</w:t>
      </w:r>
      <w:bookmarkEnd w:id="1082"/>
    </w:p>
    <w:p w14:paraId="520244FF" w14:textId="54DFCBE0" w:rsidR="00974F0D" w:rsidRDefault="00974F0D" w:rsidP="00974F0D">
      <w:pPr>
        <w:spacing w:after="150" w:line="288" w:lineRule="auto"/>
        <w:jc w:val="both"/>
        <w:outlineLvl w:val="0"/>
        <w:rPr>
          <w:rFonts w:ascii="Aptos" w:eastAsia="Times New Roman" w:hAnsi="Aptos" w:cs="Times New Roman"/>
          <w:i/>
          <w:iCs/>
          <w:color w:val="002060"/>
          <w:kern w:val="36"/>
          <w:sz w:val="18"/>
          <w:szCs w:val="18"/>
        </w:rPr>
      </w:pPr>
      <w:bookmarkStart w:id="1083" w:name="_Toc216965808"/>
      <w:r w:rsidRPr="00974F0D">
        <w:rPr>
          <w:rFonts w:ascii="Aptos" w:eastAsia="Times New Roman" w:hAnsi="Aptos" w:cs="Times New Roman"/>
          <w:i/>
          <w:iCs/>
          <w:color w:val="002060"/>
          <w:kern w:val="36"/>
          <w:sz w:val="18"/>
          <w:szCs w:val="18"/>
        </w:rPr>
        <w:t>VNS</w:t>
      </w:r>
      <w:bookmarkEnd w:id="1083"/>
    </w:p>
    <w:p w14:paraId="191D1541" w14:textId="77777777" w:rsidR="00974F0D" w:rsidRPr="00974F0D" w:rsidRDefault="00974F0D" w:rsidP="00974F0D">
      <w:pPr>
        <w:spacing w:after="150" w:line="288" w:lineRule="auto"/>
        <w:jc w:val="both"/>
        <w:outlineLvl w:val="0"/>
        <w:rPr>
          <w:rFonts w:ascii="Aptos" w:eastAsia="Times New Roman" w:hAnsi="Aptos" w:cs="Times New Roman"/>
          <w:i/>
          <w:iCs/>
          <w:color w:val="002060"/>
          <w:kern w:val="36"/>
          <w:sz w:val="18"/>
          <w:szCs w:val="18"/>
        </w:rPr>
      </w:pPr>
    </w:p>
    <w:p w14:paraId="5B8F7747" w14:textId="437C3C9E"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Prime Minister </w:t>
      </w:r>
      <w:proofErr w:type="spellStart"/>
      <w:r w:rsidRPr="00974F0D">
        <w:rPr>
          <w:rFonts w:ascii="Aptos" w:eastAsia="Times New Roman" w:hAnsi="Aptos" w:cs="Segoe UI"/>
          <w:color w:val="002060"/>
        </w:rPr>
        <w:t>Phạm</w:t>
      </w:r>
      <w:proofErr w:type="spellEnd"/>
      <w:r w:rsidRPr="00974F0D">
        <w:rPr>
          <w:rFonts w:ascii="Aptos" w:eastAsia="Times New Roman" w:hAnsi="Aptos" w:cs="Segoe UI"/>
          <w:color w:val="002060"/>
        </w:rPr>
        <w:t xml:space="preserve"> Minh </w:t>
      </w:r>
      <w:proofErr w:type="spellStart"/>
      <w:r w:rsidRPr="00974F0D">
        <w:rPr>
          <w:rFonts w:ascii="Aptos" w:eastAsia="Times New Roman" w:hAnsi="Aptos" w:cs="Segoe UI"/>
          <w:color w:val="002060"/>
        </w:rPr>
        <w:t>Chính</w:t>
      </w:r>
      <w:proofErr w:type="spellEnd"/>
      <w:r w:rsidRPr="00974F0D">
        <w:rPr>
          <w:rFonts w:ascii="Aptos" w:eastAsia="Times New Roman" w:hAnsi="Aptos" w:cs="Segoe UI"/>
          <w:color w:val="002060"/>
        </w:rPr>
        <w:t xml:space="preserve"> chaired the fourth meeting of the Central Steering Committee on Housing Policy and the Real Estate Market today in Hà </w:t>
      </w:r>
      <w:proofErr w:type="spellStart"/>
      <w:r w:rsidRPr="00974F0D">
        <w:rPr>
          <w:rFonts w:ascii="Aptos" w:eastAsia="Times New Roman" w:hAnsi="Aptos" w:cs="Segoe UI"/>
          <w:color w:val="002060"/>
        </w:rPr>
        <w:t>Nội</w:t>
      </w:r>
      <w:proofErr w:type="spellEnd"/>
      <w:r w:rsidRPr="00974F0D">
        <w:rPr>
          <w:rFonts w:ascii="Aptos" w:eastAsia="Times New Roman" w:hAnsi="Aptos" w:cs="Segoe UI"/>
          <w:color w:val="002060"/>
        </w:rPr>
        <w:t xml:space="preserve"> to review progress in real estate market management and social housing development in 2025 and to set out key tasks and solutions for 2026 and the coming period.</w:t>
      </w:r>
    </w:p>
    <w:p w14:paraId="29DFD2A2"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The Steering Committee reported that since the beginning of 2025, the Government and the Prime Minister have issued six resolutions. The Prime Minister has also promulgated a decision assigning social housing development targets, along with three official dispatches and one directive.</w:t>
      </w:r>
    </w:p>
    <w:p w14:paraId="0AA063A7"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In addition, the Prime Minister and Deputy Prime Ministers have released around 15 conclusions and guidance documents related to social housing development and real estate market management. During the year, the Prime Minister chaired six nationwide conferences, held both in person and online, focusing on social housing and the real estate sector.</w:t>
      </w:r>
    </w:p>
    <w:p w14:paraId="461BA621"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In recent years, construction and real estate have accounted for about 11 per cent of GDP, with real estate contributing roughly 4.5 per cent directly and indirectly through related sectors.</w:t>
      </w:r>
    </w:p>
    <w:p w14:paraId="2DC11D20"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With regard to social housing, under the </w:t>
      </w:r>
      <w:proofErr w:type="spellStart"/>
      <w:r w:rsidRPr="00974F0D">
        <w:rPr>
          <w:rFonts w:ascii="Aptos" w:eastAsia="Times New Roman" w:hAnsi="Aptos" w:cs="Segoe UI"/>
          <w:color w:val="002060"/>
        </w:rPr>
        <w:t>programme</w:t>
      </w:r>
      <w:proofErr w:type="spellEnd"/>
      <w:r w:rsidRPr="00974F0D">
        <w:rPr>
          <w:rFonts w:ascii="Aptos" w:eastAsia="Times New Roman" w:hAnsi="Aptos" w:cs="Segoe UI"/>
          <w:color w:val="002060"/>
        </w:rPr>
        <w:t xml:space="preserve"> to build at least one million social housing units, 698 projects are currently underway nationwide, with a total scale of 657,441 units. Of these, 193 projects have been completed, delivering 169,143 units; 200 projects have broken ground and are under construction, with 134,111 units; and 305 projects have received investment policy approval, covering 354,187 units. By 2025, the number of completed, commenced and approved units reached 62 per cent of the </w:t>
      </w:r>
      <w:proofErr w:type="spellStart"/>
      <w:r w:rsidRPr="00974F0D">
        <w:rPr>
          <w:rFonts w:ascii="Aptos" w:eastAsia="Times New Roman" w:hAnsi="Aptos" w:cs="Segoe UI"/>
          <w:color w:val="002060"/>
        </w:rPr>
        <w:t>programme’s</w:t>
      </w:r>
      <w:proofErr w:type="spellEnd"/>
      <w:r w:rsidRPr="00974F0D">
        <w:rPr>
          <w:rFonts w:ascii="Aptos" w:eastAsia="Times New Roman" w:hAnsi="Aptos" w:cs="Segoe UI"/>
          <w:color w:val="002060"/>
        </w:rPr>
        <w:t xml:space="preserve"> target.</w:t>
      </w:r>
    </w:p>
    <w:p w14:paraId="648725FF"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Nineteen provinces and cities have met or exceeded their assigned targets, while 12 localities have yet to do so. Alongside local authorities, agencies such as the Ministry of National </w:t>
      </w:r>
      <w:proofErr w:type="spellStart"/>
      <w:r w:rsidRPr="00974F0D">
        <w:rPr>
          <w:rFonts w:ascii="Aptos" w:eastAsia="Times New Roman" w:hAnsi="Aptos" w:cs="Segoe UI"/>
          <w:color w:val="002060"/>
        </w:rPr>
        <w:t>Defence</w:t>
      </w:r>
      <w:proofErr w:type="spellEnd"/>
      <w:r w:rsidRPr="00974F0D">
        <w:rPr>
          <w:rFonts w:ascii="Aptos" w:eastAsia="Times New Roman" w:hAnsi="Aptos" w:cs="Segoe UI"/>
          <w:color w:val="002060"/>
        </w:rPr>
        <w:t xml:space="preserve">, the Ministry of Public Security and the General Confederation of </w:t>
      </w:r>
      <w:proofErr w:type="spellStart"/>
      <w:r w:rsidRPr="00974F0D">
        <w:rPr>
          <w:rFonts w:ascii="Aptos" w:eastAsia="Times New Roman" w:hAnsi="Aptos" w:cs="Segoe UI"/>
          <w:color w:val="002060"/>
        </w:rPr>
        <w:t>Labour</w:t>
      </w:r>
      <w:proofErr w:type="spellEnd"/>
      <w:r w:rsidRPr="00974F0D">
        <w:rPr>
          <w:rFonts w:ascii="Aptos" w:eastAsia="Times New Roman" w:hAnsi="Aptos" w:cs="Segoe UI"/>
          <w:color w:val="002060"/>
        </w:rPr>
        <w:t xml:space="preserve"> have implemented social housing projects for military personnel, trade union officials and workers.</w:t>
      </w:r>
    </w:p>
    <w:p w14:paraId="2FC98B84"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At the meeting, participants proposed continuing the review and improvement of institutions and policies governing housing and real estate to ensure consistency, feasibility and effectiveness. They also recommended mechanisms to promote reasonably priced commercial housing, as well as rental and rent-to-own models aligned with people’s purchasing power, the early establishment of a National Housing Fund to </w:t>
      </w:r>
      <w:proofErr w:type="spellStart"/>
      <w:r w:rsidRPr="00974F0D">
        <w:rPr>
          <w:rFonts w:ascii="Aptos" w:eastAsia="Times New Roman" w:hAnsi="Aptos" w:cs="Segoe UI"/>
          <w:color w:val="002060"/>
        </w:rPr>
        <w:t>mobilise</w:t>
      </w:r>
      <w:proofErr w:type="spellEnd"/>
      <w:r w:rsidRPr="00974F0D">
        <w:rPr>
          <w:rFonts w:ascii="Aptos" w:eastAsia="Times New Roman" w:hAnsi="Aptos" w:cs="Segoe UI"/>
          <w:color w:val="002060"/>
        </w:rPr>
        <w:t xml:space="preserve"> and manage investment capital and further study of a state-established real estate and land-use rights exchange.</w:t>
      </w:r>
    </w:p>
    <w:p w14:paraId="61FA25A9"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lastRenderedPageBreak/>
        <w:t xml:space="preserve">Delegates </w:t>
      </w:r>
      <w:proofErr w:type="spellStart"/>
      <w:r w:rsidRPr="00974F0D">
        <w:rPr>
          <w:rFonts w:ascii="Aptos" w:eastAsia="Times New Roman" w:hAnsi="Aptos" w:cs="Segoe UI"/>
          <w:color w:val="002060"/>
        </w:rPr>
        <w:t>emphasised</w:t>
      </w:r>
      <w:proofErr w:type="spellEnd"/>
      <w:r w:rsidRPr="00974F0D">
        <w:rPr>
          <w:rFonts w:ascii="Aptos" w:eastAsia="Times New Roman" w:hAnsi="Aptos" w:cs="Segoe UI"/>
          <w:color w:val="002060"/>
        </w:rPr>
        <w:t xml:space="preserve"> the need to accelerate the implementation of housing and real estate projects to boost supply, advance social housing development and fulfil the target of building at least one million social housing units for low-income earners and industrial park workers during 2021–2030. They also called for stronger inspection and supervision to promptly prevent and strictly address violations in real estate business activities, brokerage and exchange services, as well as to address shortcomings and potential misconduct in the approval, purchase, leasing and rent-to-own of social housing.</w:t>
      </w:r>
    </w:p>
    <w:p w14:paraId="5483B503"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In his concluding remarks, PM </w:t>
      </w:r>
      <w:proofErr w:type="spellStart"/>
      <w:r w:rsidRPr="00974F0D">
        <w:rPr>
          <w:rFonts w:ascii="Aptos" w:eastAsia="Times New Roman" w:hAnsi="Aptos" w:cs="Segoe UI"/>
          <w:color w:val="002060"/>
        </w:rPr>
        <w:t>Chính</w:t>
      </w:r>
      <w:proofErr w:type="spellEnd"/>
      <w:r w:rsidRPr="00974F0D">
        <w:rPr>
          <w:rFonts w:ascii="Aptos" w:eastAsia="Times New Roman" w:hAnsi="Aptos" w:cs="Segoe UI"/>
          <w:color w:val="002060"/>
        </w:rPr>
        <w:t xml:space="preserve"> noted that as 2025 draws to a close, the real estate and housing markets have recorded tangible improvements. With the engagement of the entire political system, the armed forces, businesses and the public, </w:t>
      </w:r>
      <w:proofErr w:type="spellStart"/>
      <w:r w:rsidRPr="00974F0D">
        <w:rPr>
          <w:rFonts w:ascii="Aptos" w:eastAsia="Times New Roman" w:hAnsi="Aptos" w:cs="Segoe UI"/>
          <w:color w:val="002060"/>
        </w:rPr>
        <w:t>Việt</w:t>
      </w:r>
      <w:proofErr w:type="spellEnd"/>
      <w:r w:rsidRPr="00974F0D">
        <w:rPr>
          <w:rFonts w:ascii="Aptos" w:eastAsia="Times New Roman" w:hAnsi="Aptos" w:cs="Segoe UI"/>
          <w:color w:val="002060"/>
        </w:rPr>
        <w:t xml:space="preserve"> Nam has completed the elimination of temporary and dilapidated housing nationwide, addressing more than 334,000 homes five years ahead of schedule.</w:t>
      </w:r>
    </w:p>
    <w:p w14:paraId="5BC40E27"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On social housing, after years of slow progress, the current term has delivered a clear breakthrough. The one-million-unit </w:t>
      </w:r>
      <w:proofErr w:type="spellStart"/>
      <w:r w:rsidRPr="00974F0D">
        <w:rPr>
          <w:rFonts w:ascii="Aptos" w:eastAsia="Times New Roman" w:hAnsi="Aptos" w:cs="Segoe UI"/>
          <w:color w:val="002060"/>
        </w:rPr>
        <w:t>programme</w:t>
      </w:r>
      <w:proofErr w:type="spellEnd"/>
      <w:r w:rsidRPr="00974F0D">
        <w:rPr>
          <w:rFonts w:ascii="Aptos" w:eastAsia="Times New Roman" w:hAnsi="Aptos" w:cs="Segoe UI"/>
          <w:color w:val="002060"/>
        </w:rPr>
        <w:t xml:space="preserve"> has achieved 62 per cent of its target. In 2025 alone, the country exceeded its goal by 100,000 social housing units. At this pace, the </w:t>
      </w:r>
      <w:proofErr w:type="spellStart"/>
      <w:r w:rsidRPr="00974F0D">
        <w:rPr>
          <w:rFonts w:ascii="Aptos" w:eastAsia="Times New Roman" w:hAnsi="Aptos" w:cs="Segoe UI"/>
          <w:color w:val="002060"/>
        </w:rPr>
        <w:t>programme</w:t>
      </w:r>
      <w:proofErr w:type="spellEnd"/>
      <w:r w:rsidRPr="00974F0D">
        <w:rPr>
          <w:rFonts w:ascii="Aptos" w:eastAsia="Times New Roman" w:hAnsi="Aptos" w:cs="Segoe UI"/>
          <w:color w:val="002060"/>
        </w:rPr>
        <w:t xml:space="preserve"> is expected to be completed no later than the end of 2028.</w:t>
      </w:r>
    </w:p>
    <w:p w14:paraId="0B5FD4C0"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The Prime Minister urged localities to build on these gains by proactively allocating land and construction materials, establishing fast-track mechanisms for administrative procedures and promptly resolving obstacles to accelerate social housing development.</w:t>
      </w:r>
    </w:p>
    <w:p w14:paraId="76717069"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He noted that the real estate market has continued to improve, with many projects overcoming legal difficulties and resuming implementation, thereby </w:t>
      </w:r>
      <w:proofErr w:type="spellStart"/>
      <w:r w:rsidRPr="00974F0D">
        <w:rPr>
          <w:rFonts w:ascii="Aptos" w:eastAsia="Times New Roman" w:hAnsi="Aptos" w:cs="Segoe UI"/>
          <w:color w:val="002060"/>
        </w:rPr>
        <w:t>mobilising</w:t>
      </w:r>
      <w:proofErr w:type="spellEnd"/>
      <w:r w:rsidRPr="00974F0D">
        <w:rPr>
          <w:rFonts w:ascii="Aptos" w:eastAsia="Times New Roman" w:hAnsi="Aptos" w:cs="Segoe UI"/>
          <w:color w:val="002060"/>
        </w:rPr>
        <w:t xml:space="preserve"> resources, expanding supply, supporting socio-economic development, promoting modern and sustainable urban development and contributing to social stability.</w:t>
      </w:r>
    </w:p>
    <w:p w14:paraId="78F261DB" w14:textId="77777777" w:rsidR="00974F0D"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On capital </w:t>
      </w:r>
      <w:proofErr w:type="spellStart"/>
      <w:r w:rsidRPr="00974F0D">
        <w:rPr>
          <w:rFonts w:ascii="Aptos" w:eastAsia="Times New Roman" w:hAnsi="Aptos" w:cs="Segoe UI"/>
          <w:color w:val="002060"/>
        </w:rPr>
        <w:t>mobilisation</w:t>
      </w:r>
      <w:proofErr w:type="spellEnd"/>
      <w:r w:rsidRPr="00974F0D">
        <w:rPr>
          <w:rFonts w:ascii="Aptos" w:eastAsia="Times New Roman" w:hAnsi="Aptos" w:cs="Segoe UI"/>
          <w:color w:val="002060"/>
        </w:rPr>
        <w:t xml:space="preserve">, PM </w:t>
      </w:r>
      <w:proofErr w:type="spellStart"/>
      <w:r w:rsidRPr="00974F0D">
        <w:rPr>
          <w:rFonts w:ascii="Aptos" w:eastAsia="Times New Roman" w:hAnsi="Aptos" w:cs="Segoe UI"/>
          <w:color w:val="002060"/>
        </w:rPr>
        <w:t>Chính</w:t>
      </w:r>
      <w:proofErr w:type="spellEnd"/>
      <w:r w:rsidRPr="00974F0D">
        <w:rPr>
          <w:rFonts w:ascii="Aptos" w:eastAsia="Times New Roman" w:hAnsi="Aptos" w:cs="Segoe UI"/>
          <w:color w:val="002060"/>
        </w:rPr>
        <w:t xml:space="preserve"> stressed the need to diversify funding sources for both commercial and social housing, including bank credit, bonds, foreign direct investment and other channels, while ensuring that capital markets are regulated and operate in a sound and balanced manner. He also highlighted the importance of preferential credit packages for social housing and housing for people under 35.</w:t>
      </w:r>
    </w:p>
    <w:p w14:paraId="6D888DFE" w14:textId="58F2F2CA" w:rsidR="00F675E0" w:rsidRPr="00974F0D" w:rsidRDefault="00974F0D" w:rsidP="00974F0D">
      <w:pPr>
        <w:spacing w:after="450" w:line="288" w:lineRule="auto"/>
        <w:jc w:val="both"/>
        <w:rPr>
          <w:rFonts w:ascii="Aptos" w:eastAsia="Times New Roman" w:hAnsi="Aptos" w:cs="Segoe UI"/>
          <w:color w:val="002060"/>
        </w:rPr>
      </w:pPr>
      <w:r w:rsidRPr="00974F0D">
        <w:rPr>
          <w:rFonts w:ascii="Aptos" w:eastAsia="Times New Roman" w:hAnsi="Aptos" w:cs="Segoe UI"/>
          <w:color w:val="002060"/>
        </w:rPr>
        <w:t xml:space="preserve">Reiterating that “the Party provides direction, the State creates conditions, businesses take the lead, public–private partnership works in tandem, the country develops and the people are happy,” the Prime Minister urged localities to complete planning, allocate land for social housing, reform administrative procedures by cutting at least 50 per cent of those related to social housing, establish steering committees on housing policy and the real estate market and ensure transparent and accurate beneficiary selection to prevent misconduct. </w:t>
      </w:r>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49076B8A" w14:textId="77777777" w:rsidR="002632D8" w:rsidRDefault="002632D8" w:rsidP="00881894">
      <w:pPr>
        <w:spacing w:line="288" w:lineRule="auto"/>
        <w:jc w:val="right"/>
        <w:rPr>
          <w:rStyle w:val="Hyperlink"/>
          <w:rFonts w:ascii="Aptos" w:eastAsia="Malgun Gothic" w:hAnsi="Aptos" w:cs="Times New Roman"/>
          <w:color w:val="002060"/>
        </w:rPr>
      </w:pPr>
    </w:p>
    <w:p w14:paraId="5893AB97" w14:textId="77777777" w:rsidR="003A65EA" w:rsidRPr="003A65EA" w:rsidRDefault="003A65EA" w:rsidP="003A65EA">
      <w:pPr>
        <w:shd w:val="clear" w:color="auto" w:fill="FFFFFF"/>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1084" w:name="_Toc216965809"/>
      <w:r w:rsidRPr="003A65EA">
        <w:rPr>
          <w:rFonts w:ascii="Aptos" w:eastAsia="Times New Roman" w:hAnsi="Aptos" w:cs="Times New Roman"/>
          <w:b/>
          <w:bCs/>
          <w:color w:val="002060"/>
          <w:kern w:val="36"/>
          <w:sz w:val="28"/>
          <w:szCs w:val="28"/>
        </w:rPr>
        <w:t>Real estate market will have clear divergence next year</w:t>
      </w:r>
      <w:bookmarkEnd w:id="1084"/>
    </w:p>
    <w:p w14:paraId="626B06EB" w14:textId="5666BA26" w:rsidR="003A65EA" w:rsidRPr="003A65EA" w:rsidRDefault="003A65EA" w:rsidP="00974F0D">
      <w:pPr>
        <w:shd w:val="clear" w:color="auto" w:fill="FFFFFF"/>
        <w:spacing w:before="100" w:beforeAutospacing="1" w:after="100" w:afterAutospacing="1" w:line="288" w:lineRule="auto"/>
        <w:outlineLvl w:val="0"/>
        <w:rPr>
          <w:rFonts w:ascii="Aptos" w:eastAsia="Times New Roman" w:hAnsi="Aptos" w:cs="Times New Roman"/>
          <w:i/>
          <w:iCs/>
          <w:color w:val="002060"/>
          <w:kern w:val="36"/>
          <w:sz w:val="18"/>
          <w:szCs w:val="18"/>
        </w:rPr>
      </w:pPr>
      <w:bookmarkStart w:id="1085" w:name="_Toc216965810"/>
      <w:proofErr w:type="spellStart"/>
      <w:r w:rsidRPr="003A65EA">
        <w:rPr>
          <w:rFonts w:ascii="Aptos" w:eastAsia="Times New Roman" w:hAnsi="Aptos" w:cs="Times New Roman"/>
          <w:i/>
          <w:iCs/>
          <w:color w:val="002060"/>
          <w:kern w:val="36"/>
          <w:sz w:val="18"/>
          <w:szCs w:val="18"/>
        </w:rPr>
        <w:lastRenderedPageBreak/>
        <w:t>VNA</w:t>
      </w:r>
      <w:bookmarkEnd w:id="1085"/>
      <w:proofErr w:type="spellEnd"/>
    </w:p>
    <w:p w14:paraId="3EF55923" w14:textId="77777777" w:rsidR="003A65EA" w:rsidRPr="003A65EA" w:rsidRDefault="003A65EA" w:rsidP="003A65EA">
      <w:pPr>
        <w:shd w:val="clear" w:color="auto" w:fill="FFFFFF"/>
        <w:spacing w:before="100" w:beforeAutospacing="1" w:after="100" w:afterAutospacing="1" w:line="288" w:lineRule="auto"/>
        <w:outlineLvl w:val="1"/>
        <w:rPr>
          <w:rFonts w:ascii="Aptos" w:eastAsia="Times New Roman" w:hAnsi="Aptos" w:cs="Arial"/>
          <w:b/>
          <w:bCs/>
          <w:i/>
          <w:iCs/>
          <w:color w:val="002060"/>
        </w:rPr>
      </w:pPr>
      <w:bookmarkStart w:id="1086" w:name="_Toc216965811"/>
      <w:r w:rsidRPr="003A65EA">
        <w:rPr>
          <w:rFonts w:ascii="Aptos" w:eastAsia="Times New Roman" w:hAnsi="Aptos" w:cs="Arial"/>
          <w:b/>
          <w:bCs/>
          <w:i/>
          <w:iCs/>
          <w:color w:val="002060"/>
        </w:rPr>
        <w:t>Vietnam’s real estate market is currently driven by real demand, transparent legal frameworks, and a more positive foundation thanks to new legal corridors, with expectations of a clear recovery in 2026.</w:t>
      </w:r>
      <w:bookmarkEnd w:id="1086"/>
    </w:p>
    <w:p w14:paraId="65695F8A" w14:textId="1F57D619" w:rsidR="003A65EA" w:rsidRPr="003A65EA" w:rsidRDefault="003A65EA" w:rsidP="003A65EA">
      <w:pPr>
        <w:shd w:val="clear" w:color="auto" w:fill="FFFFFF"/>
        <w:spacing w:after="0" w:line="288" w:lineRule="auto"/>
        <w:rPr>
          <w:rFonts w:ascii="Aptos" w:eastAsia="Times New Roman" w:hAnsi="Aptos" w:cs="Arial"/>
          <w:color w:val="002060"/>
        </w:rPr>
      </w:pPr>
      <w:r w:rsidRPr="003A65EA">
        <w:rPr>
          <w:rFonts w:ascii="Aptos" w:eastAsia="Times New Roman" w:hAnsi="Aptos" w:cs="Arial"/>
          <w:color w:val="002060"/>
        </w:rPr>
        <w:t>Nguyen Quoc Anh, Deputy CEO of Batdongsan.com.vn made the remarks at the Vietnam Real Estate Conference (VRES 2025) held in Hanoi last week.</w:t>
      </w:r>
      <w:r w:rsidRPr="003A65EA">
        <w:rPr>
          <w:rFonts w:ascii="Aptos" w:eastAsia="Times New Roman" w:hAnsi="Aptos" w:cs="Arial"/>
          <w:color w:val="002060"/>
        </w:rPr>
        <w:br/>
      </w:r>
      <w:r w:rsidRPr="003A65EA">
        <w:rPr>
          <w:rFonts w:ascii="Aptos" w:eastAsia="Times New Roman" w:hAnsi="Aptos" w:cs="Arial"/>
          <w:color w:val="002060"/>
        </w:rPr>
        <w:br/>
        <w:t>Anh said that entering the last quarter of the year, interest rates have started to tick up as many commercial banks recorded declining deposits, pushing 12-month deposit rates to 5.3–5.5% per year.</w:t>
      </w:r>
      <w:r w:rsidRPr="003A65EA">
        <w:rPr>
          <w:rFonts w:ascii="Aptos" w:eastAsia="Times New Roman" w:hAnsi="Aptos" w:cs="Arial"/>
          <w:color w:val="002060"/>
        </w:rPr>
        <w:br/>
      </w:r>
      <w:r w:rsidRPr="003A65EA">
        <w:rPr>
          <w:rFonts w:ascii="Aptos" w:eastAsia="Times New Roman" w:hAnsi="Aptos" w:cs="Arial"/>
          <w:color w:val="002060"/>
        </w:rPr>
        <w:br/>
        <w:t>He stated that the slight increase in deposit interest rates is merely technical, aimed at rebalancing capital costs after the deep decline in 2024.</w:t>
      </w:r>
      <w:r w:rsidRPr="003A65EA">
        <w:rPr>
          <w:rFonts w:ascii="Aptos" w:eastAsia="Times New Roman" w:hAnsi="Aptos" w:cs="Arial"/>
          <w:color w:val="002060"/>
        </w:rPr>
        <w:br/>
      </w:r>
      <w:r w:rsidRPr="003A65EA">
        <w:rPr>
          <w:rFonts w:ascii="Aptos" w:eastAsia="Times New Roman" w:hAnsi="Aptos" w:cs="Arial"/>
          <w:color w:val="002060"/>
        </w:rPr>
        <w:br/>
        <w:t>Lending rates are mostly around 6-7% per year - higher than the 5-5.5% offered in young-buyer incentive packages, but still supportive for transactions.</w:t>
      </w:r>
      <w:r w:rsidRPr="003A65EA">
        <w:rPr>
          <w:rFonts w:ascii="Aptos" w:eastAsia="Times New Roman" w:hAnsi="Aptos" w:cs="Arial"/>
          <w:color w:val="002060"/>
        </w:rPr>
        <w:br/>
      </w:r>
      <w:r w:rsidRPr="003A65EA">
        <w:rPr>
          <w:rFonts w:ascii="Aptos" w:eastAsia="Times New Roman" w:hAnsi="Aptos" w:cs="Arial"/>
          <w:color w:val="002060"/>
        </w:rPr>
        <w:br/>
        <w:t>“The current market pressure mainly comes from capital demand for public investment and production, while low deposit rates are pushing money flows toward real estate and securities,” he said.</w:t>
      </w:r>
      <w:r w:rsidRPr="003A65EA">
        <w:rPr>
          <w:rFonts w:ascii="Aptos" w:eastAsia="Times New Roman" w:hAnsi="Aptos" w:cs="Arial"/>
          <w:color w:val="002060"/>
        </w:rPr>
        <w:br/>
      </w:r>
      <w:r w:rsidRPr="003A65EA">
        <w:rPr>
          <w:rFonts w:ascii="Aptos" w:eastAsia="Times New Roman" w:hAnsi="Aptos" w:cs="Arial"/>
          <w:color w:val="002060"/>
        </w:rPr>
        <w:br/>
        <w:t>He also argued that banks’ slight increase in deposit rates at year-end is a positive development because it helps the system better balance long-term capital, creating a stable foundation for the next market cycle.</w:t>
      </w:r>
      <w:r w:rsidRPr="003A65EA">
        <w:rPr>
          <w:rFonts w:ascii="Aptos" w:eastAsia="Times New Roman" w:hAnsi="Aptos" w:cs="Arial"/>
          <w:color w:val="002060"/>
        </w:rPr>
        <w:br/>
      </w:r>
      <w:r w:rsidRPr="003A65EA">
        <w:rPr>
          <w:rFonts w:ascii="Aptos" w:eastAsia="Times New Roman" w:hAnsi="Aptos" w:cs="Arial"/>
          <w:color w:val="002060"/>
        </w:rPr>
        <w:br/>
        <w:t xml:space="preserve">At the conference, Dr. Can Van Luc, chief economist at </w:t>
      </w:r>
      <w:proofErr w:type="spellStart"/>
      <w:r w:rsidRPr="003A65EA">
        <w:rPr>
          <w:rFonts w:ascii="Aptos" w:eastAsia="Times New Roman" w:hAnsi="Aptos" w:cs="Arial"/>
          <w:color w:val="002060"/>
        </w:rPr>
        <w:t>BIDV</w:t>
      </w:r>
      <w:proofErr w:type="spellEnd"/>
      <w:r w:rsidRPr="003A65EA">
        <w:rPr>
          <w:rFonts w:ascii="Aptos" w:eastAsia="Times New Roman" w:hAnsi="Aptos" w:cs="Arial"/>
          <w:color w:val="002060"/>
        </w:rPr>
        <w:t xml:space="preserve"> and a member of the Prime Minister's Economic Advisory Council, affirmed that interest rates are becoming the 'decisive factor' shaping the new recovery cycle of Vietnam’s real estate market.</w:t>
      </w:r>
      <w:r w:rsidRPr="003A65EA">
        <w:rPr>
          <w:rFonts w:ascii="Aptos" w:eastAsia="Times New Roman" w:hAnsi="Aptos" w:cs="Arial"/>
          <w:color w:val="002060"/>
        </w:rPr>
        <w:br/>
      </w:r>
      <w:r w:rsidRPr="003A65EA">
        <w:rPr>
          <w:rFonts w:ascii="Aptos" w:eastAsia="Times New Roman" w:hAnsi="Aptos" w:cs="Arial"/>
          <w:color w:val="002060"/>
        </w:rPr>
        <w:br/>
        <w:t>The 2023-2025 period has demonstrated that interest rates serve as an essential 'soft lever' for Vietnam’s real estate market - supporting real housing demand, helping developers overcome difficulties, and enabling a more stable and sustainable recovery cycle, no longer dependent on speculation.</w:t>
      </w:r>
      <w:r w:rsidRPr="003A65EA">
        <w:rPr>
          <w:rFonts w:ascii="Aptos" w:eastAsia="Times New Roman" w:hAnsi="Aptos" w:cs="Arial"/>
          <w:color w:val="002060"/>
        </w:rPr>
        <w:br/>
      </w:r>
      <w:r w:rsidRPr="003A65EA">
        <w:rPr>
          <w:rFonts w:ascii="Aptos" w:eastAsia="Times New Roman" w:hAnsi="Aptos" w:cs="Arial"/>
          <w:color w:val="002060"/>
        </w:rPr>
        <w:br/>
        <w:t>Luc expects interest rates to remain a major force shaping the market in 2026 and beyond.</w:t>
      </w:r>
      <w:r w:rsidRPr="003A65EA">
        <w:rPr>
          <w:rFonts w:ascii="Aptos" w:eastAsia="Times New Roman" w:hAnsi="Aptos" w:cs="Arial"/>
          <w:color w:val="002060"/>
        </w:rPr>
        <w:br/>
      </w:r>
      <w:r w:rsidRPr="003A65EA">
        <w:rPr>
          <w:rFonts w:ascii="Aptos" w:eastAsia="Times New Roman" w:hAnsi="Aptos" w:cs="Arial"/>
          <w:color w:val="002060"/>
        </w:rPr>
        <w:br/>
        <w:t>However, he said that interest rates, while necessary, are not sufficient on their own. The overall health of the market also depends on project legal frameworks, new supply, procedural reforms, and market confidence.</w:t>
      </w:r>
      <w:r w:rsidRPr="003A65EA">
        <w:rPr>
          <w:rFonts w:ascii="Aptos" w:eastAsia="Times New Roman" w:hAnsi="Aptos" w:cs="Arial"/>
          <w:color w:val="002060"/>
        </w:rPr>
        <w:br/>
      </w:r>
      <w:r w:rsidRPr="003A65EA">
        <w:rPr>
          <w:rFonts w:ascii="Aptos" w:eastAsia="Times New Roman" w:hAnsi="Aptos" w:cs="Arial"/>
          <w:color w:val="002060"/>
        </w:rPr>
        <w:br/>
        <w:t xml:space="preserve">Low interest rates only </w:t>
      </w:r>
      <w:proofErr w:type="spellStart"/>
      <w:r w:rsidRPr="003A65EA">
        <w:rPr>
          <w:rFonts w:ascii="Aptos" w:eastAsia="Times New Roman" w:hAnsi="Aptos" w:cs="Arial"/>
          <w:color w:val="002060"/>
        </w:rPr>
        <w:t>maximise</w:t>
      </w:r>
      <w:proofErr w:type="spellEnd"/>
      <w:r w:rsidRPr="003A65EA">
        <w:rPr>
          <w:rFonts w:ascii="Aptos" w:eastAsia="Times New Roman" w:hAnsi="Aptos" w:cs="Arial"/>
          <w:color w:val="002060"/>
        </w:rPr>
        <w:t xml:space="preserve"> their impact when accompanied by a transparent ecosystem and supply that meets real demand.</w:t>
      </w:r>
      <w:r w:rsidRPr="003A65EA">
        <w:rPr>
          <w:rFonts w:ascii="Aptos" w:eastAsia="Times New Roman" w:hAnsi="Aptos" w:cs="Arial"/>
          <w:color w:val="002060"/>
        </w:rPr>
        <w:br/>
      </w:r>
      <w:r w:rsidRPr="003A65EA">
        <w:rPr>
          <w:rFonts w:ascii="Aptos" w:eastAsia="Times New Roman" w:hAnsi="Aptos" w:cs="Arial"/>
          <w:color w:val="002060"/>
        </w:rPr>
        <w:br/>
        <w:t>From a market perspective, Anh said the market this year is much 'calmer' with a clear shift toward end-user-driven products.</w:t>
      </w:r>
      <w:r w:rsidRPr="003A65EA">
        <w:rPr>
          <w:rFonts w:ascii="Aptos" w:eastAsia="Times New Roman" w:hAnsi="Aptos" w:cs="Arial"/>
          <w:color w:val="002060"/>
        </w:rPr>
        <w:br/>
      </w:r>
      <w:r w:rsidRPr="003A65EA">
        <w:rPr>
          <w:rFonts w:ascii="Aptos" w:eastAsia="Times New Roman" w:hAnsi="Aptos" w:cs="Arial"/>
          <w:color w:val="002060"/>
        </w:rPr>
        <w:br/>
        <w:t>Although buying and selling interest has yet to return to the 2022 peak, capital is now concentrated in legally transparent products, reflecting investors’ cautious sentiment after the 2022 shock as well as the market’s more sustainable development trajectory.</w:t>
      </w:r>
      <w:r w:rsidRPr="003A65EA">
        <w:rPr>
          <w:rFonts w:ascii="Aptos" w:eastAsia="Times New Roman" w:hAnsi="Aptos" w:cs="Arial"/>
          <w:color w:val="002060"/>
        </w:rPr>
        <w:br/>
      </w:r>
      <w:r w:rsidRPr="003A65EA">
        <w:rPr>
          <w:rFonts w:ascii="Aptos" w:eastAsia="Times New Roman" w:hAnsi="Aptos" w:cs="Arial"/>
          <w:color w:val="002060"/>
        </w:rPr>
        <w:lastRenderedPageBreak/>
        <w:br/>
        <w:t>According to the Deputy CEO of Batdongsan.com.vn, new legal corridors from the revised Land Law and Real Estate Business Law have increased transparency and improved project-development procedures.</w:t>
      </w:r>
      <w:r w:rsidRPr="003A65EA">
        <w:rPr>
          <w:rFonts w:ascii="Aptos" w:eastAsia="Times New Roman" w:hAnsi="Aptos" w:cs="Arial"/>
          <w:color w:val="002060"/>
        </w:rPr>
        <w:br/>
      </w:r>
      <w:r w:rsidRPr="003A65EA">
        <w:rPr>
          <w:rFonts w:ascii="Aptos" w:eastAsia="Times New Roman" w:hAnsi="Aptos" w:cs="Arial"/>
          <w:color w:val="002060"/>
        </w:rPr>
        <w:br/>
        <w:t>Land prices in 2025 in many localities have remained below the 2022 peak, helping the market maintain stability and reduce risks.</w:t>
      </w:r>
      <w:r w:rsidRPr="003A65EA">
        <w:rPr>
          <w:rFonts w:ascii="Aptos" w:eastAsia="Times New Roman" w:hAnsi="Aptos" w:cs="Arial"/>
          <w:color w:val="002060"/>
        </w:rPr>
        <w:br/>
      </w:r>
      <w:r w:rsidRPr="003A65EA">
        <w:rPr>
          <w:rFonts w:ascii="Aptos" w:eastAsia="Times New Roman" w:hAnsi="Aptos" w:cs="Arial"/>
          <w:color w:val="002060"/>
        </w:rPr>
        <w:br/>
        <w:t>He said that there are currently no signs of widespread land fever. The hotspots mostly relate to administrative boundary mergers, while transactions remain concentrated in apartments and private houses in major urban areas.</w:t>
      </w:r>
      <w:r w:rsidRPr="003A65EA">
        <w:rPr>
          <w:rFonts w:ascii="Aptos" w:eastAsia="Times New Roman" w:hAnsi="Aptos" w:cs="Arial"/>
          <w:color w:val="002060"/>
        </w:rPr>
        <w:br/>
      </w:r>
      <w:r w:rsidRPr="003A65EA">
        <w:rPr>
          <w:rFonts w:ascii="Aptos" w:eastAsia="Times New Roman" w:hAnsi="Aptos" w:cs="Arial"/>
          <w:color w:val="002060"/>
        </w:rPr>
        <w:br/>
        <w:t>“In the short term, the market may continue to be in a probing phase, but in the medium and long term, the recovery cycle that began in 2024 still has plenty of room to grow," Anh said.</w:t>
      </w:r>
      <w:r w:rsidRPr="003A65EA">
        <w:rPr>
          <w:rFonts w:ascii="Aptos" w:eastAsia="Times New Roman" w:hAnsi="Aptos" w:cs="Arial"/>
          <w:color w:val="002060"/>
        </w:rPr>
        <w:br/>
      </w:r>
      <w:r w:rsidRPr="003A65EA">
        <w:rPr>
          <w:rFonts w:ascii="Aptos" w:eastAsia="Times New Roman" w:hAnsi="Aptos" w:cs="Arial"/>
          <w:color w:val="002060"/>
        </w:rPr>
        <w:br/>
        <w:t>"I believe that 2026 will be the time when the market becomes clearly differentiated and enters a more stable trajectory. A stressful scenario like in 2022 will be very difficult to repeat.”</w:t>
      </w:r>
      <w:r w:rsidRPr="003A65EA">
        <w:rPr>
          <w:rFonts w:ascii="Aptos" w:eastAsia="Times New Roman" w:hAnsi="Aptos" w:cs="Arial"/>
          <w:color w:val="002060"/>
        </w:rPr>
        <w:br/>
      </w:r>
      <w:r w:rsidRPr="003A65EA">
        <w:rPr>
          <w:rFonts w:ascii="Aptos" w:eastAsia="Times New Roman" w:hAnsi="Aptos" w:cs="Arial"/>
          <w:color w:val="002060"/>
        </w:rPr>
        <w:br/>
        <w:t xml:space="preserve">Furthermore, in the context of a strongly restructuring real estate market, he </w:t>
      </w:r>
      <w:proofErr w:type="spellStart"/>
      <w:r w:rsidRPr="003A65EA">
        <w:rPr>
          <w:rFonts w:ascii="Aptos" w:eastAsia="Times New Roman" w:hAnsi="Aptos" w:cs="Arial"/>
          <w:color w:val="002060"/>
        </w:rPr>
        <w:t>emphasised</w:t>
      </w:r>
      <w:proofErr w:type="spellEnd"/>
      <w:r w:rsidRPr="003A65EA">
        <w:rPr>
          <w:rFonts w:ascii="Aptos" w:eastAsia="Times New Roman" w:hAnsi="Aptos" w:cs="Arial"/>
          <w:color w:val="002060"/>
        </w:rPr>
        <w:t xml:space="preserve"> the role of International Financial </w:t>
      </w:r>
      <w:proofErr w:type="spellStart"/>
      <w:r w:rsidRPr="003A65EA">
        <w:rPr>
          <w:rFonts w:ascii="Aptos" w:eastAsia="Times New Roman" w:hAnsi="Aptos" w:cs="Arial"/>
          <w:color w:val="002060"/>
        </w:rPr>
        <w:t>Centres</w:t>
      </w:r>
      <w:proofErr w:type="spellEnd"/>
      <w:r w:rsidRPr="003A65EA">
        <w:rPr>
          <w:rFonts w:ascii="Aptos" w:eastAsia="Times New Roman" w:hAnsi="Aptos" w:cs="Arial"/>
          <w:color w:val="002060"/>
        </w:rPr>
        <w:t xml:space="preserve"> (</w:t>
      </w:r>
      <w:proofErr w:type="spellStart"/>
      <w:r w:rsidRPr="003A65EA">
        <w:rPr>
          <w:rFonts w:ascii="Aptos" w:eastAsia="Times New Roman" w:hAnsi="Aptos" w:cs="Arial"/>
          <w:color w:val="002060"/>
        </w:rPr>
        <w:t>IFCs</w:t>
      </w:r>
      <w:proofErr w:type="spellEnd"/>
      <w:r w:rsidRPr="003A65EA">
        <w:rPr>
          <w:rFonts w:ascii="Aptos" w:eastAsia="Times New Roman" w:hAnsi="Aptos" w:cs="Arial"/>
          <w:color w:val="002060"/>
        </w:rPr>
        <w:t>) as a 'strategic puzzle piece' that helps reposition urban central business districts (CBDs) and opens up new growth drivers.</w:t>
      </w:r>
      <w:r w:rsidRPr="003A65EA">
        <w:rPr>
          <w:rFonts w:ascii="Aptos" w:eastAsia="Times New Roman" w:hAnsi="Aptos" w:cs="Arial"/>
          <w:color w:val="002060"/>
        </w:rPr>
        <w:br/>
      </w:r>
      <w:r w:rsidRPr="003A65EA">
        <w:rPr>
          <w:rFonts w:ascii="Aptos" w:eastAsia="Times New Roman" w:hAnsi="Aptos" w:cs="Arial"/>
          <w:color w:val="002060"/>
        </w:rPr>
        <w:br/>
        <w:t xml:space="preserve">Experience from Yeouido (Seoul) and </w:t>
      </w:r>
      <w:proofErr w:type="spellStart"/>
      <w:r w:rsidRPr="003A65EA">
        <w:rPr>
          <w:rFonts w:ascii="Aptos" w:eastAsia="Times New Roman" w:hAnsi="Aptos" w:cs="Arial"/>
          <w:color w:val="002060"/>
        </w:rPr>
        <w:t>Lujiazui</w:t>
      </w:r>
      <w:proofErr w:type="spellEnd"/>
      <w:r w:rsidRPr="003A65EA">
        <w:rPr>
          <w:rFonts w:ascii="Aptos" w:eastAsia="Times New Roman" w:hAnsi="Aptos" w:cs="Arial"/>
          <w:color w:val="002060"/>
        </w:rPr>
        <w:t xml:space="preserve"> (Shanghai) shows that a successful </w:t>
      </w:r>
      <w:proofErr w:type="spellStart"/>
      <w:r w:rsidRPr="003A65EA">
        <w:rPr>
          <w:rFonts w:ascii="Aptos" w:eastAsia="Times New Roman" w:hAnsi="Aptos" w:cs="Arial"/>
          <w:color w:val="002060"/>
        </w:rPr>
        <w:t>IFC</w:t>
      </w:r>
      <w:proofErr w:type="spellEnd"/>
      <w:r w:rsidRPr="003A65EA">
        <w:rPr>
          <w:rFonts w:ascii="Aptos" w:eastAsia="Times New Roman" w:hAnsi="Aptos" w:cs="Arial"/>
          <w:color w:val="002060"/>
        </w:rPr>
        <w:t xml:space="preserve"> always converges four elements like planning, connected infrastructure, iconic buildings, and mechanisms that attract global financial institutions, according to the Batdongsan.com.vn.</w:t>
      </w:r>
      <w:r w:rsidRPr="003A65EA">
        <w:rPr>
          <w:rFonts w:ascii="Aptos" w:eastAsia="Times New Roman" w:hAnsi="Aptos" w:cs="Arial"/>
          <w:color w:val="002060"/>
        </w:rPr>
        <w:br/>
      </w:r>
      <w:r w:rsidRPr="003A65EA">
        <w:rPr>
          <w:rFonts w:ascii="Aptos" w:eastAsia="Times New Roman" w:hAnsi="Aptos" w:cs="Arial"/>
          <w:color w:val="002060"/>
        </w:rPr>
        <w:br/>
        <w:t>When these four components are activated, cities not only form more dynamic new CBDs but also create momentum for businesses, employment, and the value of central real estate.</w:t>
      </w:r>
      <w:r w:rsidRPr="003A65EA">
        <w:rPr>
          <w:rFonts w:ascii="Aptos" w:eastAsia="Times New Roman" w:hAnsi="Aptos" w:cs="Arial"/>
          <w:color w:val="002060"/>
        </w:rPr>
        <w:br/>
      </w:r>
      <w:r w:rsidRPr="003A65EA">
        <w:rPr>
          <w:rFonts w:ascii="Aptos" w:eastAsia="Times New Roman" w:hAnsi="Aptos" w:cs="Arial"/>
          <w:color w:val="002060"/>
        </w:rPr>
        <w:br/>
        <w:t xml:space="preserve">In Vietnam, </w:t>
      </w:r>
      <w:proofErr w:type="spellStart"/>
      <w:r w:rsidRPr="003A65EA">
        <w:rPr>
          <w:rFonts w:ascii="Aptos" w:eastAsia="Times New Roman" w:hAnsi="Aptos" w:cs="Arial"/>
          <w:color w:val="002060"/>
        </w:rPr>
        <w:t>HCM</w:t>
      </w:r>
      <w:proofErr w:type="spellEnd"/>
      <w:r w:rsidRPr="003A65EA">
        <w:rPr>
          <w:rFonts w:ascii="Aptos" w:eastAsia="Times New Roman" w:hAnsi="Aptos" w:cs="Arial"/>
          <w:color w:val="002060"/>
        </w:rPr>
        <w:t xml:space="preserve"> City and Da Nang must choose either developing into core central </w:t>
      </w:r>
      <w:proofErr w:type="spellStart"/>
      <w:r w:rsidRPr="003A65EA">
        <w:rPr>
          <w:rFonts w:ascii="Aptos" w:eastAsia="Times New Roman" w:hAnsi="Aptos" w:cs="Arial"/>
          <w:color w:val="002060"/>
        </w:rPr>
        <w:t>IFCs</w:t>
      </w:r>
      <w:proofErr w:type="spellEnd"/>
      <w:r w:rsidRPr="003A65EA">
        <w:rPr>
          <w:rFonts w:ascii="Aptos" w:eastAsia="Times New Roman" w:hAnsi="Aptos" w:cs="Arial"/>
          <w:color w:val="002060"/>
        </w:rPr>
        <w:t xml:space="preserve"> or becoming extensions of existing CBDs.</w:t>
      </w:r>
      <w:r w:rsidRPr="003A65EA">
        <w:rPr>
          <w:rFonts w:ascii="Aptos" w:eastAsia="Times New Roman" w:hAnsi="Aptos" w:cs="Arial"/>
          <w:color w:val="002060"/>
        </w:rPr>
        <w:br/>
      </w:r>
      <w:r w:rsidRPr="003A65EA">
        <w:rPr>
          <w:rFonts w:ascii="Aptos" w:eastAsia="Times New Roman" w:hAnsi="Aptos" w:cs="Arial"/>
          <w:color w:val="002060"/>
        </w:rPr>
        <w:br/>
        <w:t xml:space="preserve">Success depends on clearly defining the </w:t>
      </w:r>
      <w:proofErr w:type="spellStart"/>
      <w:r w:rsidRPr="003A65EA">
        <w:rPr>
          <w:rFonts w:ascii="Aptos" w:eastAsia="Times New Roman" w:hAnsi="Aptos" w:cs="Arial"/>
          <w:color w:val="002060"/>
        </w:rPr>
        <w:t>IFC</w:t>
      </w:r>
      <w:proofErr w:type="spellEnd"/>
      <w:r w:rsidRPr="003A65EA">
        <w:rPr>
          <w:rFonts w:ascii="Aptos" w:eastAsia="Times New Roman" w:hAnsi="Aptos" w:cs="Arial"/>
          <w:color w:val="002060"/>
        </w:rPr>
        <w:t xml:space="preserve"> model, developing iconic buildings, completing interregional and inner-city infrastructure, and establishing mechanisms to attract </w:t>
      </w:r>
      <w:proofErr w:type="spellStart"/>
      <w:r w:rsidRPr="003A65EA">
        <w:rPr>
          <w:rFonts w:ascii="Aptos" w:eastAsia="Times New Roman" w:hAnsi="Aptos" w:cs="Arial"/>
          <w:color w:val="002060"/>
        </w:rPr>
        <w:t>organisations</w:t>
      </w:r>
      <w:proofErr w:type="spellEnd"/>
      <w:r w:rsidRPr="003A65EA">
        <w:rPr>
          <w:rFonts w:ascii="Aptos" w:eastAsia="Times New Roman" w:hAnsi="Aptos" w:cs="Arial"/>
          <w:color w:val="002060"/>
        </w:rPr>
        <w:t xml:space="preserve"> and businesses.</w:t>
      </w:r>
    </w:p>
    <w:p w14:paraId="1723C360" w14:textId="77777777" w:rsidR="002632D8" w:rsidRPr="004C6CBE" w:rsidRDefault="002632D8" w:rsidP="00881894">
      <w:pPr>
        <w:spacing w:line="288" w:lineRule="auto"/>
        <w:jc w:val="right"/>
        <w:rPr>
          <w:rStyle w:val="Hyperlink"/>
          <w:rFonts w:ascii="Aptos" w:eastAsia="Malgun Gothic" w:hAnsi="Aptos" w:cs="Times New Roman"/>
          <w:color w:val="002060"/>
        </w:rPr>
      </w:pPr>
    </w:p>
    <w:bookmarkStart w:id="1087" w:name="_Toc150433306"/>
    <w:bookmarkStart w:id="1088" w:name="_Toc151040605"/>
    <w:bookmarkStart w:id="1089" w:name="_Toc151645186"/>
    <w:bookmarkStart w:id="1090" w:name="_Toc152248771"/>
    <w:bookmarkStart w:id="1091" w:name="_Toc153458096"/>
    <w:bookmarkStart w:id="1092" w:name="_Toc154061711"/>
    <w:bookmarkStart w:id="1093" w:name="_Toc185497345"/>
    <w:bookmarkStart w:id="1094" w:name="_Toc186722702"/>
    <w:bookmarkStart w:id="1095" w:name="_Toc187326028"/>
    <w:bookmarkStart w:id="1096" w:name="_Toc187919327"/>
    <w:bookmarkStart w:id="1097" w:name="_Toc188519320"/>
    <w:bookmarkStart w:id="1098" w:name="_Toc189746412"/>
    <w:bookmarkStart w:id="1099" w:name="_Toc190348434"/>
    <w:bookmarkStart w:id="1100" w:name="_Toc190954019"/>
    <w:bookmarkStart w:id="1101" w:name="_Toc191559705"/>
    <w:bookmarkStart w:id="1102" w:name="_Toc192153156"/>
    <w:bookmarkStart w:id="1103" w:name="_Toc192767040"/>
    <w:bookmarkStart w:id="1104" w:name="_Toc193361548"/>
    <w:bookmarkStart w:id="1105" w:name="_Toc193977740"/>
    <w:bookmarkStart w:id="1106" w:name="_Toc194671403"/>
    <w:bookmarkStart w:id="1107" w:name="_Toc195192240"/>
    <w:bookmarkStart w:id="1108" w:name="_Toc195795581"/>
    <w:bookmarkStart w:id="1109" w:name="_Toc196395808"/>
    <w:bookmarkStart w:id="1110" w:name="_Toc197596767"/>
    <w:bookmarkStart w:id="1111" w:name="_Toc198210656"/>
    <w:bookmarkStart w:id="1112" w:name="_Toc198816072"/>
    <w:bookmarkStart w:id="1113" w:name="_Toc199419434"/>
    <w:bookmarkStart w:id="1114" w:name="_Toc200013609"/>
    <w:bookmarkStart w:id="1115" w:name="_Toc200628582"/>
    <w:bookmarkStart w:id="1116" w:name="_Toc201837364"/>
    <w:bookmarkStart w:id="1117" w:name="_Toc202445702"/>
    <w:bookmarkStart w:id="1118" w:name="_Toc203047566"/>
    <w:bookmarkStart w:id="1119" w:name="_Toc203655869"/>
    <w:bookmarkStart w:id="1120" w:name="_Toc204262807"/>
    <w:bookmarkStart w:id="1121" w:name="_Toc204862966"/>
    <w:bookmarkStart w:id="1122" w:name="_Toc205466596"/>
    <w:bookmarkStart w:id="1123" w:name="_Toc206074512"/>
    <w:bookmarkStart w:id="1124" w:name="_Toc207184407"/>
    <w:bookmarkStart w:id="1125" w:name="_Toc207888613"/>
    <w:bookmarkStart w:id="1126" w:name="_Toc208493636"/>
    <w:bookmarkStart w:id="1127" w:name="_Toc208493714"/>
    <w:bookmarkStart w:id="1128" w:name="_Toc209099457"/>
    <w:bookmarkStart w:id="1129" w:name="_Toc209702686"/>
    <w:bookmarkStart w:id="1130"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23D4DA5E" w14:textId="35055C1A"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31" w:name="_Toc210911926"/>
      <w:bookmarkStart w:id="1132" w:name="_Toc210912018"/>
      <w:bookmarkStart w:id="1133" w:name="_Toc211518249"/>
      <w:bookmarkStart w:id="1134" w:name="_Toc212118933"/>
      <w:bookmarkStart w:id="1135" w:name="_Toc212726924"/>
      <w:bookmarkStart w:id="1136" w:name="_Toc213334262"/>
      <w:bookmarkStart w:id="1137" w:name="_Toc213924610"/>
      <w:bookmarkStart w:id="1138" w:name="_Toc214539951"/>
      <w:bookmarkStart w:id="1139" w:name="_Toc215144387"/>
      <w:bookmarkStart w:id="1140" w:name="_Toc215750966"/>
      <w:bookmarkStart w:id="1141" w:name="_Toc216355062"/>
      <w:bookmarkStart w:id="1142" w:name="_Toc216965812"/>
      <w:proofErr w:type="spellStart"/>
      <w:r w:rsidRPr="004C6CBE">
        <w:rPr>
          <w:rFonts w:ascii="Aptos" w:eastAsia="Malgun Gothic" w:hAnsi="Aptos" w:cs="Times New Roman"/>
          <w:color w:val="002060"/>
        </w:rPr>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4C6CBE">
        <w:rPr>
          <w:rFonts w:ascii="Aptos" w:eastAsia="Malgun Gothic" w:hAnsi="Aptos" w:cs="Times New Roman"/>
          <w:color w:val="002060"/>
        </w:rPr>
        <w:t>G</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roofErr w:type="spellEnd"/>
    </w:p>
    <w:p w14:paraId="0022814E" w14:textId="77777777" w:rsidR="00337E4B" w:rsidRPr="00EA245E" w:rsidRDefault="00337E4B" w:rsidP="00337E4B">
      <w:pPr>
        <w:rPr>
          <w:b/>
          <w:bCs/>
          <w:color w:val="002060"/>
          <w:sz w:val="28"/>
          <w:szCs w:val="28"/>
        </w:rPr>
      </w:pPr>
    </w:p>
    <w:p w14:paraId="5CEC7A47" w14:textId="77777777" w:rsidR="00EA245E" w:rsidRPr="00EA245E" w:rsidRDefault="00EA245E" w:rsidP="00EA245E">
      <w:pPr>
        <w:spacing w:after="161" w:line="288" w:lineRule="auto"/>
        <w:jc w:val="both"/>
        <w:outlineLvl w:val="0"/>
        <w:rPr>
          <w:rFonts w:ascii="Aptos" w:eastAsia="Times New Roman" w:hAnsi="Aptos" w:cs="Times New Roman"/>
          <w:b/>
          <w:bCs/>
          <w:color w:val="002060"/>
          <w:kern w:val="36"/>
          <w:sz w:val="28"/>
          <w:szCs w:val="28"/>
        </w:rPr>
      </w:pPr>
      <w:bookmarkStart w:id="1143" w:name="_Toc216965813"/>
      <w:r w:rsidRPr="00EA245E">
        <w:rPr>
          <w:rFonts w:ascii="Aptos" w:eastAsia="Times New Roman" w:hAnsi="Aptos" w:cs="Times New Roman"/>
          <w:b/>
          <w:bCs/>
          <w:color w:val="002060"/>
          <w:kern w:val="36"/>
          <w:sz w:val="28"/>
          <w:szCs w:val="28"/>
        </w:rPr>
        <w:t>Quang Tri green-lights $1.59 billion LNG-fired power project</w:t>
      </w:r>
      <w:bookmarkEnd w:id="1143"/>
    </w:p>
    <w:p w14:paraId="1298E8EB" w14:textId="150BE731" w:rsidR="00EA245E" w:rsidRPr="00EA245E" w:rsidRDefault="00EA245E" w:rsidP="00EA245E">
      <w:pPr>
        <w:spacing w:after="150" w:line="288" w:lineRule="auto"/>
        <w:jc w:val="both"/>
        <w:rPr>
          <w:rFonts w:ascii="Aptos" w:eastAsia="Times New Roman" w:hAnsi="Aptos" w:cs="Times New Roman"/>
          <w:i/>
          <w:iCs/>
          <w:color w:val="002060"/>
          <w:sz w:val="18"/>
          <w:szCs w:val="18"/>
        </w:rPr>
      </w:pPr>
      <w:r w:rsidRPr="00EA245E">
        <w:rPr>
          <w:rFonts w:ascii="Aptos" w:eastAsia="Times New Roman" w:hAnsi="Aptos" w:cs="Times New Roman"/>
          <w:i/>
          <w:iCs/>
          <w:color w:val="002060"/>
          <w:sz w:val="18"/>
          <w:szCs w:val="18"/>
        </w:rPr>
        <w:lastRenderedPageBreak/>
        <w:t>VIR</w:t>
      </w:r>
    </w:p>
    <w:p w14:paraId="1606FAE5" w14:textId="77777777" w:rsidR="00EA245E" w:rsidRPr="00EA245E" w:rsidRDefault="00EA245E" w:rsidP="00EA245E">
      <w:pPr>
        <w:spacing w:after="150" w:line="288" w:lineRule="auto"/>
        <w:jc w:val="both"/>
        <w:rPr>
          <w:rFonts w:ascii="Aptos" w:eastAsia="Times New Roman" w:hAnsi="Aptos" w:cs="Times New Roman"/>
          <w:color w:val="002060"/>
        </w:rPr>
      </w:pPr>
    </w:p>
    <w:p w14:paraId="0F2C45E2" w14:textId="77777777" w:rsidR="00EA245E" w:rsidRPr="00EA245E" w:rsidRDefault="00EA245E" w:rsidP="00EA245E">
      <w:pPr>
        <w:spacing w:after="150" w:line="288" w:lineRule="auto"/>
        <w:jc w:val="both"/>
        <w:rPr>
          <w:rFonts w:ascii="Aptos" w:eastAsia="Times New Roman" w:hAnsi="Aptos" w:cs="Times New Roman"/>
          <w:color w:val="002060"/>
        </w:rPr>
      </w:pPr>
      <w:r w:rsidRPr="00EA245E">
        <w:rPr>
          <w:rFonts w:ascii="Aptos" w:eastAsia="Times New Roman" w:hAnsi="Aptos" w:cs="Times New Roman"/>
          <w:color w:val="002060"/>
        </w:rPr>
        <w:t>Quang Tri province has approved a $1.59 billion liquid natural gas (LNG)-fired power scheme by Vietnam Electricity to boost local energy capacity.</w:t>
      </w:r>
    </w:p>
    <w:p w14:paraId="5C9885E0" w14:textId="77777777" w:rsidR="00EA245E" w:rsidRPr="00EA245E" w:rsidRDefault="00EA245E" w:rsidP="00EA245E">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The Quang Trach III LNG-fired power plant, with a planned capacity of </w:t>
      </w:r>
      <w:proofErr w:type="spellStart"/>
      <w:r w:rsidRPr="00EA245E">
        <w:rPr>
          <w:rFonts w:ascii="Aptos" w:eastAsia="Times New Roman" w:hAnsi="Aptos" w:cs="Times New Roman"/>
          <w:color w:val="002060"/>
        </w:rPr>
        <w:t>1,500MW</w:t>
      </w:r>
      <w:proofErr w:type="spellEnd"/>
      <w:r w:rsidRPr="00EA245E">
        <w:rPr>
          <w:rFonts w:ascii="Aptos" w:eastAsia="Times New Roman" w:hAnsi="Aptos" w:cs="Times New Roman"/>
          <w:color w:val="002060"/>
        </w:rPr>
        <w:t xml:space="preserve">, will cost about </w:t>
      </w:r>
      <w:proofErr w:type="spellStart"/>
      <w:r w:rsidRPr="00EA245E">
        <w:rPr>
          <w:rFonts w:ascii="Aptos" w:eastAsia="Times New Roman" w:hAnsi="Aptos" w:cs="Times New Roman"/>
          <w:color w:val="002060"/>
        </w:rPr>
        <w:t>VND41.83</w:t>
      </w:r>
      <w:proofErr w:type="spellEnd"/>
      <w:r w:rsidRPr="00EA245E">
        <w:rPr>
          <w:rFonts w:ascii="Aptos" w:eastAsia="Times New Roman" w:hAnsi="Aptos" w:cs="Times New Roman"/>
          <w:color w:val="002060"/>
        </w:rPr>
        <w:t xml:space="preserve"> trillion ($1.59 billion). Vietnam Electricity (</w:t>
      </w:r>
      <w:proofErr w:type="spellStart"/>
      <w:r w:rsidRPr="00EA245E">
        <w:rPr>
          <w:rFonts w:ascii="Aptos" w:eastAsia="Times New Roman" w:hAnsi="Aptos" w:cs="Times New Roman"/>
          <w:color w:val="002060"/>
        </w:rPr>
        <w:t>EVN</w:t>
      </w:r>
      <w:proofErr w:type="spellEnd"/>
      <w:r w:rsidRPr="00EA245E">
        <w:rPr>
          <w:rFonts w:ascii="Aptos" w:eastAsia="Times New Roman" w:hAnsi="Aptos" w:cs="Times New Roman"/>
          <w:color w:val="002060"/>
        </w:rPr>
        <w:t>) will provide 20 per cent of the funding through equity, while state-controlled Vietcombank will arrange loans for the remaining 80 per cent.</w:t>
      </w:r>
    </w:p>
    <w:p w14:paraId="6254CA99" w14:textId="77777777" w:rsidR="00EA245E" w:rsidRPr="00EA245E" w:rsidRDefault="00EA245E" w:rsidP="00EA245E">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Covering an area of 74 hectares in Phu Trach commune, the project is a part of the Quang Trach power </w:t>
      </w:r>
      <w:proofErr w:type="spellStart"/>
      <w:r w:rsidRPr="00EA245E">
        <w:rPr>
          <w:rFonts w:ascii="Aptos" w:eastAsia="Times New Roman" w:hAnsi="Aptos" w:cs="Times New Roman"/>
          <w:color w:val="002060"/>
        </w:rPr>
        <w:t>centre</w:t>
      </w:r>
      <w:proofErr w:type="spellEnd"/>
      <w:r w:rsidRPr="00EA245E">
        <w:rPr>
          <w:rFonts w:ascii="Aptos" w:eastAsia="Times New Roman" w:hAnsi="Aptos" w:cs="Times New Roman"/>
          <w:color w:val="002060"/>
        </w:rPr>
        <w:t xml:space="preserve"> and Vietnam’s adjusted National Power Development Plan VIII (</w:t>
      </w:r>
      <w:proofErr w:type="spellStart"/>
      <w:r w:rsidRPr="00EA245E">
        <w:rPr>
          <w:rFonts w:ascii="Aptos" w:eastAsia="Times New Roman" w:hAnsi="Aptos" w:cs="Times New Roman"/>
          <w:color w:val="002060"/>
        </w:rPr>
        <w:t>PDP8</w:t>
      </w:r>
      <w:proofErr w:type="spellEnd"/>
      <w:r w:rsidRPr="00EA245E">
        <w:rPr>
          <w:rFonts w:ascii="Aptos" w:eastAsia="Times New Roman" w:hAnsi="Aptos" w:cs="Times New Roman"/>
          <w:color w:val="002060"/>
        </w:rPr>
        <w:t>). It is designed to use combined-cycle gas turbine technology.</w:t>
      </w:r>
    </w:p>
    <w:p w14:paraId="69ED42D2" w14:textId="77777777" w:rsidR="00EA245E" w:rsidRPr="00EA245E" w:rsidRDefault="00EA245E" w:rsidP="00EA245E">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“This venture will play a key role in boosting local socioeconomic development. For </w:t>
      </w:r>
      <w:proofErr w:type="spellStart"/>
      <w:r w:rsidRPr="00EA245E">
        <w:rPr>
          <w:rFonts w:ascii="Aptos" w:eastAsia="Times New Roman" w:hAnsi="Aptos" w:cs="Times New Roman"/>
          <w:color w:val="002060"/>
        </w:rPr>
        <w:t>EVN</w:t>
      </w:r>
      <w:proofErr w:type="spellEnd"/>
      <w:r w:rsidRPr="00EA245E">
        <w:rPr>
          <w:rFonts w:ascii="Aptos" w:eastAsia="Times New Roman" w:hAnsi="Aptos" w:cs="Times New Roman"/>
          <w:color w:val="002060"/>
        </w:rPr>
        <w:t>, the approval reinforces plans to make Quang Tri a new energy hub in central Vietnam and marks a milestone in the rollout of major projects at the Quang Trach Power Centre,” said Hoang Nam, standing vice chairman of Quang Tri People’s Committee, at a handover ceremony on December 12.</w:t>
      </w:r>
    </w:p>
    <w:p w14:paraId="4E295A10" w14:textId="77777777" w:rsidR="00EA245E" w:rsidRPr="00EA245E" w:rsidRDefault="00EA245E" w:rsidP="00EA245E">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Once completed, the plant is expected to help shore up national energy security, particularly during 2031-2035 as electricity demand in northern Vietnam rises, while improving the safety and stability of the power system in line with the adjusted </w:t>
      </w:r>
      <w:proofErr w:type="spellStart"/>
      <w:r w:rsidRPr="00EA245E">
        <w:rPr>
          <w:rFonts w:ascii="Aptos" w:eastAsia="Times New Roman" w:hAnsi="Aptos" w:cs="Times New Roman"/>
          <w:color w:val="002060"/>
        </w:rPr>
        <w:t>PDP8</w:t>
      </w:r>
      <w:proofErr w:type="spellEnd"/>
      <w:r w:rsidRPr="00EA245E">
        <w:rPr>
          <w:rFonts w:ascii="Aptos" w:eastAsia="Times New Roman" w:hAnsi="Aptos" w:cs="Times New Roman"/>
          <w:color w:val="002060"/>
        </w:rPr>
        <w:t xml:space="preserve">. It would contribute about </w:t>
      </w:r>
      <w:proofErr w:type="spellStart"/>
      <w:r w:rsidRPr="00EA245E">
        <w:rPr>
          <w:rFonts w:ascii="Aptos" w:eastAsia="Times New Roman" w:hAnsi="Aptos" w:cs="Times New Roman"/>
          <w:color w:val="002060"/>
        </w:rPr>
        <w:t>VND1.2</w:t>
      </w:r>
      <w:proofErr w:type="spellEnd"/>
      <w:r w:rsidRPr="00EA245E">
        <w:rPr>
          <w:rFonts w:ascii="Aptos" w:eastAsia="Times New Roman" w:hAnsi="Aptos" w:cs="Times New Roman"/>
          <w:color w:val="002060"/>
        </w:rPr>
        <w:t xml:space="preserve"> trillion ($45.62 million) per year to the state budget, creating stable jobs for local workers, supporting auxiliary industries, and attracting more large-scale investors.</w:t>
      </w:r>
    </w:p>
    <w:p w14:paraId="2371079C" w14:textId="77777777" w:rsidR="00EA245E" w:rsidRPr="00EA245E" w:rsidRDefault="00EA245E" w:rsidP="00EA245E">
      <w:pPr>
        <w:spacing w:after="225"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The Quang Trach power </w:t>
      </w:r>
      <w:proofErr w:type="spellStart"/>
      <w:r w:rsidRPr="00EA245E">
        <w:rPr>
          <w:rFonts w:ascii="Aptos" w:eastAsia="Times New Roman" w:hAnsi="Aptos" w:cs="Times New Roman"/>
          <w:color w:val="002060"/>
        </w:rPr>
        <w:t>centre</w:t>
      </w:r>
      <w:proofErr w:type="spellEnd"/>
      <w:r w:rsidRPr="00EA245E">
        <w:rPr>
          <w:rFonts w:ascii="Aptos" w:eastAsia="Times New Roman" w:hAnsi="Aptos" w:cs="Times New Roman"/>
          <w:color w:val="002060"/>
        </w:rPr>
        <w:t xml:space="preserve"> currently comprises the coal-fired Quang Trach I plant and the LNG-fired Quang Trach II and III plants, with a combined capacity of about 4,500 MW.</w:t>
      </w:r>
    </w:p>
    <w:p w14:paraId="3D7B3091" w14:textId="6E395CF7" w:rsidR="00337E4B" w:rsidRDefault="00EA245E" w:rsidP="00EA245E">
      <w:pPr>
        <w:spacing w:line="288" w:lineRule="auto"/>
        <w:jc w:val="both"/>
        <w:rPr>
          <w:rFonts w:ascii="Aptos" w:eastAsia="Times New Roman" w:hAnsi="Aptos" w:cs="Times New Roman"/>
          <w:color w:val="002060"/>
        </w:rPr>
      </w:pPr>
      <w:r w:rsidRPr="00EA245E">
        <w:rPr>
          <w:rFonts w:ascii="Aptos" w:eastAsia="Times New Roman" w:hAnsi="Aptos" w:cs="Times New Roman"/>
          <w:color w:val="002060"/>
        </w:rPr>
        <w:t xml:space="preserve">On July 1, Quang Tri merged with Quang Binh province to form the new Quang Tri province, which spans about 12,700 square </w:t>
      </w:r>
      <w:proofErr w:type="spellStart"/>
      <w:r w:rsidRPr="00EA245E">
        <w:rPr>
          <w:rFonts w:ascii="Aptos" w:eastAsia="Times New Roman" w:hAnsi="Aptos" w:cs="Times New Roman"/>
          <w:color w:val="002060"/>
        </w:rPr>
        <w:t>kilometres</w:t>
      </w:r>
      <w:proofErr w:type="spellEnd"/>
      <w:r w:rsidRPr="00EA245E">
        <w:rPr>
          <w:rFonts w:ascii="Aptos" w:eastAsia="Times New Roman" w:hAnsi="Aptos" w:cs="Times New Roman"/>
          <w:color w:val="002060"/>
        </w:rPr>
        <w:t xml:space="preserve"> and borders Ha Tinh to the north, Hue to the south, the East Sea to the east, and Laos to the west.</w:t>
      </w:r>
    </w:p>
    <w:p w14:paraId="774DAFA3" w14:textId="77777777" w:rsidR="00EA245E" w:rsidRPr="00EA245E" w:rsidRDefault="00EA245E" w:rsidP="00EA245E">
      <w:pPr>
        <w:spacing w:line="288" w:lineRule="auto"/>
        <w:jc w:val="both"/>
        <w:rPr>
          <w:rFonts w:ascii="Aptos" w:eastAsia="Times New Roman" w:hAnsi="Aptos" w:cs="Times New Roman"/>
          <w:color w:val="002060"/>
        </w:rPr>
      </w:pPr>
    </w:p>
    <w:p w14:paraId="4730FEB7" w14:textId="448ABAB7" w:rsidR="005151A5" w:rsidRPr="004C6CBE" w:rsidRDefault="00EF600B" w:rsidP="004A3101">
      <w:pPr>
        <w:spacing w:line="288" w:lineRule="auto"/>
        <w:jc w:val="right"/>
        <w:rPr>
          <w:rStyle w:val="Hyperlink"/>
          <w:rFonts w:ascii="Aptos" w:eastAsia="Malgun Gothic" w:hAnsi="Aptos" w:cs="Times New Roman"/>
          <w:color w:val="002060"/>
        </w:rPr>
      </w:pPr>
      <w:hyperlink w:anchor="_top" w:history="1">
        <w:r w:rsidR="009A345A" w:rsidRPr="004C6CBE">
          <w:rPr>
            <w:rStyle w:val="Hyperlink"/>
            <w:rFonts w:ascii="Aptos" w:eastAsia="Malgun Gothic" w:hAnsi="Aptos" w:cs="Times New Roman"/>
            <w:color w:val="002060"/>
          </w:rPr>
          <w:t>Back to Top</w:t>
        </w:r>
      </w:hyperlink>
      <w:bookmarkStart w:id="1144" w:name="_Toc203655872"/>
      <w:bookmarkStart w:id="1145" w:name="_Toc204262810"/>
      <w:bookmarkStart w:id="1146" w:name="_Toc204862970"/>
      <w:bookmarkStart w:id="1147" w:name="_Toc205466601"/>
      <w:bookmarkStart w:id="1148" w:name="_Toc206074516"/>
      <w:bookmarkStart w:id="1149" w:name="_Toc203047572"/>
      <w:bookmarkEnd w:id="1040"/>
      <w:bookmarkEnd w:id="1041"/>
      <w:bookmarkEnd w:id="1042"/>
      <w:bookmarkEnd w:id="1043"/>
      <w:bookmarkEnd w:id="1044"/>
      <w:bookmarkEnd w:id="1045"/>
      <w:bookmarkEnd w:id="1046"/>
      <w:bookmarkEnd w:id="1047"/>
    </w:p>
    <w:p w14:paraId="6D967758" w14:textId="77777777" w:rsidR="00E96123" w:rsidRDefault="00E96123" w:rsidP="00E96123">
      <w:pPr>
        <w:spacing w:after="161" w:line="240" w:lineRule="auto"/>
        <w:jc w:val="center"/>
        <w:outlineLvl w:val="0"/>
        <w:rPr>
          <w:rFonts w:ascii="Times New Roman" w:eastAsia="Times New Roman" w:hAnsi="Times New Roman" w:cs="Times New Roman"/>
          <w:color w:val="000000"/>
          <w:kern w:val="36"/>
          <w:sz w:val="45"/>
          <w:szCs w:val="45"/>
        </w:rPr>
      </w:pPr>
    </w:p>
    <w:p w14:paraId="2B999397" w14:textId="295644B4" w:rsidR="00E96123" w:rsidRPr="00E96123" w:rsidRDefault="00E96123" w:rsidP="00E96123">
      <w:pPr>
        <w:spacing w:after="161" w:line="288" w:lineRule="auto"/>
        <w:jc w:val="both"/>
        <w:outlineLvl w:val="0"/>
        <w:rPr>
          <w:rFonts w:ascii="Aptos" w:eastAsia="Times New Roman" w:hAnsi="Aptos" w:cs="Times New Roman"/>
          <w:b/>
          <w:bCs/>
          <w:color w:val="002060"/>
          <w:kern w:val="36"/>
          <w:sz w:val="28"/>
          <w:szCs w:val="28"/>
        </w:rPr>
      </w:pPr>
      <w:bookmarkStart w:id="1150" w:name="_Toc216965814"/>
      <w:r w:rsidRPr="00E96123">
        <w:rPr>
          <w:rFonts w:ascii="Aptos" w:eastAsia="Times New Roman" w:hAnsi="Aptos" w:cs="Times New Roman"/>
          <w:b/>
          <w:bCs/>
          <w:color w:val="002060"/>
          <w:kern w:val="36"/>
          <w:sz w:val="28"/>
          <w:szCs w:val="28"/>
        </w:rPr>
        <w:t>Schaeffler reports strong early output from Dong Nai solar project</w:t>
      </w:r>
      <w:bookmarkEnd w:id="1150"/>
    </w:p>
    <w:p w14:paraId="50438406" w14:textId="6EE0A2E6" w:rsidR="00E96123" w:rsidRPr="00E96123" w:rsidRDefault="00E96123" w:rsidP="00E96123">
      <w:pPr>
        <w:spacing w:after="150" w:line="288" w:lineRule="auto"/>
        <w:jc w:val="both"/>
        <w:rPr>
          <w:rFonts w:ascii="Aptos" w:eastAsia="Times New Roman" w:hAnsi="Aptos" w:cs="Times New Roman"/>
          <w:i/>
          <w:iCs/>
          <w:color w:val="002060"/>
          <w:sz w:val="18"/>
          <w:szCs w:val="18"/>
        </w:rPr>
      </w:pPr>
      <w:r w:rsidRPr="00E96123">
        <w:rPr>
          <w:rFonts w:ascii="Aptos" w:eastAsia="Times New Roman" w:hAnsi="Aptos" w:cs="Times New Roman"/>
          <w:i/>
          <w:iCs/>
          <w:color w:val="002060"/>
          <w:sz w:val="18"/>
          <w:szCs w:val="18"/>
        </w:rPr>
        <w:t>VIR</w:t>
      </w:r>
    </w:p>
    <w:p w14:paraId="492CAAA7" w14:textId="77777777" w:rsidR="00E96123" w:rsidRPr="00E96123" w:rsidRDefault="00E96123" w:rsidP="00E96123">
      <w:pPr>
        <w:spacing w:after="150"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Schaeffler has reported strong early results from its large-scale photovoltaic system in Dong Nai province, underscoring the company’s progress towards global </w:t>
      </w:r>
      <w:proofErr w:type="spellStart"/>
      <w:r w:rsidRPr="00E96123">
        <w:rPr>
          <w:rFonts w:ascii="Aptos" w:eastAsia="Times New Roman" w:hAnsi="Aptos" w:cs="Times New Roman"/>
          <w:color w:val="002060"/>
        </w:rPr>
        <w:t>decarbonisation</w:t>
      </w:r>
      <w:proofErr w:type="spellEnd"/>
      <w:r w:rsidRPr="00E96123">
        <w:rPr>
          <w:rFonts w:ascii="Aptos" w:eastAsia="Times New Roman" w:hAnsi="Aptos" w:cs="Times New Roman"/>
          <w:color w:val="002060"/>
        </w:rPr>
        <w:t xml:space="preserve"> targets and its push to integrate cleaner technologies into local manufacturing.</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E96123" w:rsidRPr="00E96123" w14:paraId="5B2EE177" w14:textId="77777777" w:rsidTr="00E96123">
        <w:tc>
          <w:tcPr>
            <w:tcW w:w="0" w:type="auto"/>
            <w:tcMar>
              <w:top w:w="0" w:type="dxa"/>
              <w:left w:w="0" w:type="dxa"/>
              <w:bottom w:w="0" w:type="dxa"/>
              <w:right w:w="0" w:type="dxa"/>
            </w:tcMar>
            <w:vAlign w:val="center"/>
            <w:hideMark/>
          </w:tcPr>
          <w:p w14:paraId="519BA5A7" w14:textId="5728E7CD" w:rsidR="00E96123" w:rsidRPr="00E96123" w:rsidRDefault="00E96123" w:rsidP="00E96123">
            <w:pPr>
              <w:spacing w:after="225" w:line="288" w:lineRule="auto"/>
              <w:jc w:val="both"/>
              <w:rPr>
                <w:rFonts w:ascii="Aptos" w:eastAsia="Times New Roman" w:hAnsi="Aptos" w:cs="Times New Roman"/>
                <w:color w:val="002060"/>
              </w:rPr>
            </w:pPr>
          </w:p>
        </w:tc>
      </w:tr>
    </w:tbl>
    <w:p w14:paraId="308C7E5A"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In an update released on December 12, Schaeffler shared performance data from the first six months of operation of its photovoltaic (PV) installation, launched in June at its Dong Nai plant. The project marks a key milestone in the firm’s </w:t>
      </w:r>
      <w:hyperlink r:id="rId10" w:history="1">
        <w:r w:rsidRPr="00E96123">
          <w:rPr>
            <w:rFonts w:ascii="Aptos" w:eastAsia="Times New Roman" w:hAnsi="Aptos" w:cs="Times New Roman"/>
            <w:color w:val="002060"/>
            <w:u w:val="single"/>
          </w:rPr>
          <w:t>sustainability</w:t>
        </w:r>
      </w:hyperlink>
      <w:r w:rsidRPr="00E96123">
        <w:rPr>
          <w:rFonts w:ascii="Aptos" w:eastAsia="Times New Roman" w:hAnsi="Aptos" w:cs="Times New Roman"/>
          <w:color w:val="002060"/>
        </w:rPr>
        <w:t> agenda and supports its alignment with the Paris Agreement, reflecting broader efforts to cut emissions and improve energy efficiency across its Vietnam operations.</w:t>
      </w:r>
    </w:p>
    <w:p w14:paraId="18D820A8"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lastRenderedPageBreak/>
        <w:t xml:space="preserve">Spanning more than 10,000 square </w:t>
      </w:r>
      <w:proofErr w:type="spellStart"/>
      <w:r w:rsidRPr="00E96123">
        <w:rPr>
          <w:rFonts w:ascii="Aptos" w:eastAsia="Times New Roman" w:hAnsi="Aptos" w:cs="Times New Roman"/>
          <w:color w:val="002060"/>
        </w:rPr>
        <w:t>metres</w:t>
      </w:r>
      <w:proofErr w:type="spellEnd"/>
      <w:r w:rsidRPr="00E96123">
        <w:rPr>
          <w:rFonts w:ascii="Aptos" w:eastAsia="Times New Roman" w:hAnsi="Aptos" w:cs="Times New Roman"/>
          <w:color w:val="002060"/>
        </w:rPr>
        <w:t xml:space="preserve">, the PV system has an installed capacity of approximately 2.12 MWp and generates approximately 2,714 MWh of electricity per year. The renewable electricity enables Schaeffler to reduce carbon emissions by 1,840 </w:t>
      </w:r>
      <w:proofErr w:type="spellStart"/>
      <w:r w:rsidRPr="00E96123">
        <w:rPr>
          <w:rFonts w:ascii="Aptos" w:eastAsia="Times New Roman" w:hAnsi="Aptos" w:cs="Times New Roman"/>
          <w:color w:val="002060"/>
        </w:rPr>
        <w:t>tonnes</w:t>
      </w:r>
      <w:proofErr w:type="spellEnd"/>
      <w:r w:rsidRPr="00E96123">
        <w:rPr>
          <w:rFonts w:ascii="Aptos" w:eastAsia="Times New Roman" w:hAnsi="Aptos" w:cs="Times New Roman"/>
          <w:color w:val="002060"/>
        </w:rPr>
        <w:t xml:space="preserve"> annually.</w:t>
      </w:r>
    </w:p>
    <w:p w14:paraId="36699E54"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The large-scale solar rooftop system delivers dual advantages. It reduces reliance on fossil fuels, contributing to carbon footprint reduction and energy resilience. By providing a steady supply of renewable electricity, the system strengthens Schaeffler’s long-term operational efficiency.</w:t>
      </w:r>
    </w:p>
    <w:p w14:paraId="0CEBD96E"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Energy-saving initiatives such as the solar rooftop system are essential to driving sustainability across Schaeffler Group’s operations, which is one of the four key components of its corporate strategy. By generating renewable energy that emits little to no greenhouse gases, Schaeffler reinforces its commitment to the Paris Agreement, supporting its overarching goal of limiting future global temperature rises to </w:t>
      </w:r>
      <w:proofErr w:type="spellStart"/>
      <w:r w:rsidRPr="00E96123">
        <w:rPr>
          <w:rFonts w:ascii="Aptos" w:eastAsia="Times New Roman" w:hAnsi="Aptos" w:cs="Times New Roman"/>
          <w:color w:val="002060"/>
        </w:rPr>
        <w:t>1.5C</w:t>
      </w:r>
      <w:proofErr w:type="spellEnd"/>
      <w:r w:rsidRPr="00E96123">
        <w:rPr>
          <w:rFonts w:ascii="Aptos" w:eastAsia="Times New Roman" w:hAnsi="Aptos" w:cs="Times New Roman"/>
          <w:color w:val="002060"/>
        </w:rPr>
        <w:t xml:space="preserve"> above pre-industrial levels.</w:t>
      </w:r>
    </w:p>
    <w:p w14:paraId="4F010D6D"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The PV installation at the Dong Nai plant demonstrates how renewables can be adopted to accelerate the shift to cleaner energy. Alongside renewable energy adoption, Schaeffler is also advancing a broader set of </w:t>
      </w:r>
      <w:proofErr w:type="spellStart"/>
      <w:r w:rsidRPr="00E96123">
        <w:rPr>
          <w:rFonts w:ascii="Aptos" w:eastAsia="Times New Roman" w:hAnsi="Aptos" w:cs="Times New Roman"/>
          <w:color w:val="002060"/>
        </w:rPr>
        <w:t>decarbonisation</w:t>
      </w:r>
      <w:proofErr w:type="spellEnd"/>
      <w:r w:rsidRPr="00E96123">
        <w:rPr>
          <w:rFonts w:ascii="Aptos" w:eastAsia="Times New Roman" w:hAnsi="Aptos" w:cs="Times New Roman"/>
          <w:color w:val="002060"/>
        </w:rPr>
        <w:t xml:space="preserve"> measures focused on improving energy efficiency across its operations.</w:t>
      </w:r>
    </w:p>
    <w:p w14:paraId="766CFED6"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Under the Energy Efficiency </w:t>
      </w:r>
      <w:proofErr w:type="spellStart"/>
      <w:r w:rsidRPr="00E96123">
        <w:rPr>
          <w:rFonts w:ascii="Aptos" w:eastAsia="Times New Roman" w:hAnsi="Aptos" w:cs="Times New Roman"/>
          <w:color w:val="002060"/>
        </w:rPr>
        <w:t>Programme</w:t>
      </w:r>
      <w:proofErr w:type="spellEnd"/>
      <w:r w:rsidRPr="00E96123">
        <w:rPr>
          <w:rFonts w:ascii="Aptos" w:eastAsia="Times New Roman" w:hAnsi="Aptos" w:cs="Times New Roman"/>
          <w:color w:val="002060"/>
        </w:rPr>
        <w:t>, the company has implemented a wide range of initiatives at its manufacturing plant in Vietnam since 2021, including installing solar lights, adding inverters to filter pumps, and installing motion detectors for automatic lighting.</w:t>
      </w:r>
    </w:p>
    <w:p w14:paraId="4E795BB1"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Other measures include </w:t>
      </w:r>
      <w:proofErr w:type="spellStart"/>
      <w:r w:rsidRPr="00E96123">
        <w:rPr>
          <w:rFonts w:ascii="Aptos" w:eastAsia="Times New Roman" w:hAnsi="Aptos" w:cs="Times New Roman"/>
          <w:color w:val="002060"/>
        </w:rPr>
        <w:t>optimising</w:t>
      </w:r>
      <w:proofErr w:type="spellEnd"/>
      <w:r w:rsidRPr="00E96123">
        <w:rPr>
          <w:rFonts w:ascii="Aptos" w:eastAsia="Times New Roman" w:hAnsi="Aptos" w:cs="Times New Roman"/>
          <w:color w:val="002060"/>
        </w:rPr>
        <w:t xml:space="preserve"> the heat dissipation systems for production machinery, improving the air handling unit system in the canteen, enhancing insulation, and replacing cleaning chemicals used in the furnace heat treatment. These solutions have saved approximately 550 MWh of electricity at the plant per year.</w:t>
      </w:r>
    </w:p>
    <w:p w14:paraId="20BF6A32"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Another key focus area is water efficiency. Since 2022, the Dong Nai plant has repurposed filtered water from the water purification system for equipment cleaning, upgraded fixtures in restrooms and canteen with water-efficient models, and recycled condensate water from air handling units for cleaning and gardening. These measures have saved 4,014 cubic </w:t>
      </w:r>
      <w:proofErr w:type="spellStart"/>
      <w:r w:rsidRPr="00E96123">
        <w:rPr>
          <w:rFonts w:ascii="Aptos" w:eastAsia="Times New Roman" w:hAnsi="Aptos" w:cs="Times New Roman"/>
          <w:color w:val="002060"/>
        </w:rPr>
        <w:t>metres</w:t>
      </w:r>
      <w:proofErr w:type="spellEnd"/>
      <w:r w:rsidRPr="00E96123">
        <w:rPr>
          <w:rFonts w:ascii="Aptos" w:eastAsia="Times New Roman" w:hAnsi="Aptos" w:cs="Times New Roman"/>
          <w:color w:val="002060"/>
        </w:rPr>
        <w:t xml:space="preserve"> of water per year.</w:t>
      </w:r>
    </w:p>
    <w:p w14:paraId="6A59D249" w14:textId="0865783D"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Beyond the implementation of technical measures, Schaeffler also promotes energy-saving awareness and capability-building across its workforce. Spec</w:t>
      </w:r>
      <w:r w:rsidR="00765CDF">
        <w:rPr>
          <w:rFonts w:ascii="Aptos" w:eastAsia="Times New Roman" w:hAnsi="Aptos" w:cs="Times New Roman"/>
          <w:color w:val="002060"/>
        </w:rPr>
        <w:t>i</w:t>
      </w:r>
      <w:r w:rsidRPr="00E96123">
        <w:rPr>
          <w:rFonts w:ascii="Aptos" w:eastAsia="Times New Roman" w:hAnsi="Aptos" w:cs="Times New Roman"/>
          <w:color w:val="002060"/>
        </w:rPr>
        <w:t>fically, the plant-level Energy Efficiency workshops for employees and partners are regularly held to identify new energy efficiency solutions.</w:t>
      </w:r>
    </w:p>
    <w:p w14:paraId="12E5175C"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Efforts have also been made to advance </w:t>
      </w:r>
      <w:proofErr w:type="spellStart"/>
      <w:r w:rsidRPr="00E96123">
        <w:rPr>
          <w:rFonts w:ascii="Aptos" w:eastAsia="Times New Roman" w:hAnsi="Aptos" w:cs="Times New Roman"/>
          <w:color w:val="002060"/>
        </w:rPr>
        <w:t>decarbonisation</w:t>
      </w:r>
      <w:proofErr w:type="spellEnd"/>
      <w:r w:rsidRPr="00E96123">
        <w:rPr>
          <w:rFonts w:ascii="Aptos" w:eastAsia="Times New Roman" w:hAnsi="Aptos" w:cs="Times New Roman"/>
          <w:color w:val="002060"/>
        </w:rPr>
        <w:t xml:space="preserve"> across the supply chain. The company has outlined approaches for reducing emissions among its business partners and </w:t>
      </w:r>
      <w:proofErr w:type="spellStart"/>
      <w:r w:rsidRPr="00E96123">
        <w:rPr>
          <w:rFonts w:ascii="Aptos" w:eastAsia="Times New Roman" w:hAnsi="Aptos" w:cs="Times New Roman"/>
          <w:color w:val="002060"/>
        </w:rPr>
        <w:t>prioritising</w:t>
      </w:r>
      <w:proofErr w:type="spellEnd"/>
      <w:r w:rsidRPr="00E96123">
        <w:rPr>
          <w:rFonts w:ascii="Aptos" w:eastAsia="Times New Roman" w:hAnsi="Aptos" w:cs="Times New Roman"/>
          <w:color w:val="002060"/>
        </w:rPr>
        <w:t xml:space="preserve"> renewable energy sources, as certified through its Renewable Energy Certificate.</w:t>
      </w:r>
    </w:p>
    <w:p w14:paraId="79BDD9EB" w14:textId="77777777" w:rsidR="00E96123" w:rsidRPr="00E96123" w:rsidRDefault="00E96123" w:rsidP="00E96123">
      <w:pPr>
        <w:spacing w:after="225" w:line="288" w:lineRule="auto"/>
        <w:jc w:val="both"/>
        <w:rPr>
          <w:rFonts w:ascii="Aptos" w:eastAsia="Times New Roman" w:hAnsi="Aptos" w:cs="Times New Roman"/>
          <w:color w:val="002060"/>
        </w:rPr>
      </w:pPr>
      <w:r w:rsidRPr="00E96123">
        <w:rPr>
          <w:rFonts w:ascii="Aptos" w:eastAsia="Times New Roman" w:hAnsi="Aptos" w:cs="Times New Roman"/>
          <w:color w:val="002060"/>
        </w:rPr>
        <w:t xml:space="preserve">These sustainable initiatives also align with Vietnam’s ambitious journey towards net zero by 2050. Following the adoption of Resolution </w:t>
      </w:r>
      <w:proofErr w:type="spellStart"/>
      <w:r w:rsidRPr="00E96123">
        <w:rPr>
          <w:rFonts w:ascii="Aptos" w:eastAsia="Times New Roman" w:hAnsi="Aptos" w:cs="Times New Roman"/>
          <w:color w:val="002060"/>
        </w:rPr>
        <w:t>No.70</w:t>
      </w:r>
      <w:proofErr w:type="spellEnd"/>
      <w:r w:rsidRPr="00E96123">
        <w:rPr>
          <w:rFonts w:ascii="Aptos" w:eastAsia="Times New Roman" w:hAnsi="Aptos" w:cs="Times New Roman"/>
          <w:color w:val="002060"/>
        </w:rPr>
        <w:t xml:space="preserve">-NQ/TW by the Politburo, Vietnam has committed to ensuring adequate energy supply, </w:t>
      </w:r>
      <w:proofErr w:type="spellStart"/>
      <w:r w:rsidRPr="00E96123">
        <w:rPr>
          <w:rFonts w:ascii="Aptos" w:eastAsia="Times New Roman" w:hAnsi="Aptos" w:cs="Times New Roman"/>
          <w:color w:val="002060"/>
        </w:rPr>
        <w:t>modernising</w:t>
      </w:r>
      <w:proofErr w:type="spellEnd"/>
      <w:r w:rsidRPr="00E96123">
        <w:rPr>
          <w:rFonts w:ascii="Aptos" w:eastAsia="Times New Roman" w:hAnsi="Aptos" w:cs="Times New Roman"/>
          <w:color w:val="002060"/>
        </w:rPr>
        <w:t xml:space="preserve"> the power grid, and accelerating renewable energy adoption by 2030, positioning the country as a sustainable leader in the global energy sector transition.</w:t>
      </w:r>
    </w:p>
    <w:p w14:paraId="11867890" w14:textId="4700026B" w:rsidR="008818AB" w:rsidRPr="00E96123" w:rsidRDefault="00E96123" w:rsidP="00E96123">
      <w:pPr>
        <w:spacing w:line="288" w:lineRule="auto"/>
        <w:jc w:val="both"/>
        <w:rPr>
          <w:rFonts w:ascii="Aptos" w:eastAsia="Times New Roman" w:hAnsi="Aptos" w:cs="Times New Roman"/>
          <w:color w:val="002060"/>
        </w:rPr>
      </w:pPr>
      <w:r w:rsidRPr="00E96123">
        <w:rPr>
          <w:rFonts w:ascii="Aptos" w:eastAsia="Times New Roman" w:hAnsi="Aptos" w:cs="Times New Roman"/>
          <w:color w:val="002060"/>
        </w:rPr>
        <w:t>“We are committed to aligning our operations with Vietnam’s goal of achieving net zero by 2050. Our investments in renewable energy, including the photovoltaic installation at our Dong Nai plant, are part of our strategy to move towards climate-neutral production and a more sustainable value chain. These efforts aim to deliver long-term benefits for the community, the environment, and future generations,” said Zhang Ying, plant manager of Schaeffler.</w:t>
      </w:r>
    </w:p>
    <w:bookmarkEnd w:id="1144"/>
    <w:bookmarkEnd w:id="1145"/>
    <w:bookmarkEnd w:id="1146"/>
    <w:bookmarkEnd w:id="1147"/>
    <w:bookmarkEnd w:id="1148"/>
    <w:bookmarkEnd w:id="1149"/>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lastRenderedPageBreak/>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C350DE3" w14:textId="77777777" w:rsidR="00E25D20" w:rsidRPr="004C6CBE" w:rsidRDefault="00E25D20" w:rsidP="00687F12">
      <w:pPr>
        <w:pStyle w:val="Heading1"/>
        <w:shd w:val="clear" w:color="auto" w:fill="FFFFFF"/>
        <w:spacing w:before="0" w:line="288" w:lineRule="atLeast"/>
        <w:rPr>
          <w:rFonts w:ascii="Aptos" w:eastAsia="Malgun Gothic" w:hAnsi="Aptos" w:cs="Times New Roman"/>
          <w:color w:val="002060"/>
        </w:rPr>
      </w:pPr>
    </w:p>
    <w:p w14:paraId="1B390808" w14:textId="77777777" w:rsidR="009962D0" w:rsidRPr="004C6CBE" w:rsidRDefault="009962D0" w:rsidP="00687F12">
      <w:pPr>
        <w:pStyle w:val="Heading1"/>
        <w:shd w:val="clear" w:color="auto" w:fill="FFFFFF"/>
        <w:spacing w:before="0" w:line="288" w:lineRule="atLeast"/>
        <w:rPr>
          <w:rFonts w:ascii="Aptos" w:eastAsia="Malgun Gothic" w:hAnsi="Aptos" w:cs="Times New Roman"/>
          <w:color w:val="002060"/>
        </w:rPr>
      </w:pPr>
    </w:p>
    <w:p w14:paraId="765F44B4" w14:textId="77777777" w:rsidR="009962D0" w:rsidRDefault="009962D0" w:rsidP="00687F12">
      <w:pPr>
        <w:pStyle w:val="Heading1"/>
        <w:shd w:val="clear" w:color="auto" w:fill="FFFFFF"/>
        <w:spacing w:before="0" w:line="288" w:lineRule="atLeast"/>
        <w:rPr>
          <w:rFonts w:ascii="Aptos" w:eastAsia="Malgun Gothic" w:hAnsi="Aptos" w:cs="Times New Roman"/>
          <w:color w:val="002060"/>
        </w:rPr>
      </w:pPr>
    </w:p>
    <w:p w14:paraId="3E639D87" w14:textId="77777777" w:rsidR="007F4274" w:rsidRPr="007F4274" w:rsidRDefault="007F4274" w:rsidP="007F4274"/>
    <w:p w14:paraId="32EBC1B5" w14:textId="0AD40806" w:rsidR="00965321" w:rsidRDefault="00687F12" w:rsidP="00965321">
      <w:pPr>
        <w:pStyle w:val="Heading1"/>
        <w:shd w:val="clear" w:color="auto" w:fill="FFFFFF"/>
        <w:spacing w:before="0" w:line="288" w:lineRule="atLeast"/>
        <w:rPr>
          <w:rFonts w:ascii="Aptos" w:eastAsia="Malgun Gothic" w:hAnsi="Aptos" w:cs="Times New Roman"/>
          <w:color w:val="002060"/>
        </w:rPr>
      </w:pPr>
      <w:bookmarkStart w:id="1151" w:name="_Toc215144391"/>
      <w:bookmarkStart w:id="1152" w:name="_Toc215750969"/>
      <w:bookmarkStart w:id="1153" w:name="_Toc216355067"/>
      <w:bookmarkStart w:id="1154" w:name="_Toc216965815"/>
      <w:r w:rsidRPr="004C6CBE">
        <w:rPr>
          <w:rFonts w:ascii="Aptos" w:eastAsia="Malgun Gothic" w:hAnsi="Aptos" w:cs="Times New Roman"/>
          <w:color w:val="002060"/>
        </w:rPr>
        <w:t>LEGAL</w:t>
      </w:r>
      <w:bookmarkEnd w:id="1151"/>
      <w:bookmarkEnd w:id="1152"/>
      <w:bookmarkEnd w:id="1153"/>
      <w:bookmarkEnd w:id="1154"/>
    </w:p>
    <w:p w14:paraId="6030AD71" w14:textId="77777777" w:rsidR="00765CDF" w:rsidRPr="00765CDF" w:rsidRDefault="00765CDF" w:rsidP="00765CDF"/>
    <w:p w14:paraId="0997988C" w14:textId="77777777" w:rsidR="00765CDF" w:rsidRPr="00765CDF" w:rsidRDefault="00765CDF" w:rsidP="00765CDF">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55" w:name="_Toc216965816"/>
      <w:r w:rsidRPr="00765CDF">
        <w:rPr>
          <w:rFonts w:ascii="Aptos" w:eastAsia="Times New Roman" w:hAnsi="Aptos" w:cs="Times New Roman"/>
          <w:b/>
          <w:bCs/>
          <w:color w:val="002060"/>
          <w:kern w:val="36"/>
          <w:sz w:val="28"/>
          <w:szCs w:val="28"/>
        </w:rPr>
        <w:t>Draft decree on administrative penalties in crypto assets completed</w:t>
      </w:r>
      <w:bookmarkEnd w:id="1155"/>
    </w:p>
    <w:p w14:paraId="17C3DD7F" w14:textId="758DE0CF" w:rsidR="00765CDF" w:rsidRPr="00765CDF" w:rsidRDefault="00765CDF" w:rsidP="00765CDF">
      <w:pPr>
        <w:spacing w:after="0" w:line="288" w:lineRule="auto"/>
        <w:jc w:val="both"/>
        <w:rPr>
          <w:rFonts w:ascii="Aptos" w:eastAsia="Times New Roman" w:hAnsi="Aptos" w:cs="Times New Roman"/>
          <w:i/>
          <w:iCs/>
          <w:color w:val="002060"/>
          <w:sz w:val="18"/>
          <w:szCs w:val="18"/>
        </w:rPr>
      </w:pPr>
      <w:r w:rsidRPr="00765CDF">
        <w:rPr>
          <w:rFonts w:ascii="Aptos" w:eastAsia="Times New Roman" w:hAnsi="Aptos" w:cs="Times New Roman"/>
          <w:i/>
          <w:iCs/>
          <w:color w:val="002060"/>
          <w:sz w:val="18"/>
          <w:szCs w:val="18"/>
        </w:rPr>
        <w:t>VET</w:t>
      </w:r>
    </w:p>
    <w:p w14:paraId="2E88A790" w14:textId="77777777" w:rsidR="00765CDF" w:rsidRPr="00765CDF" w:rsidRDefault="00765CDF" w:rsidP="00765CDF">
      <w:pPr>
        <w:spacing w:after="0" w:line="288" w:lineRule="auto"/>
        <w:jc w:val="both"/>
        <w:rPr>
          <w:rFonts w:ascii="Aptos" w:eastAsia="Times New Roman" w:hAnsi="Aptos" w:cs="Times New Roman"/>
          <w:color w:val="002060"/>
        </w:rPr>
      </w:pPr>
    </w:p>
    <w:p w14:paraId="5015122C" w14:textId="467AA257" w:rsidR="00765CDF" w:rsidRPr="00765CDF" w:rsidRDefault="00765CDF" w:rsidP="00765CDF">
      <w:pPr>
        <w:spacing w:after="100" w:afterAutospacing="1" w:line="288" w:lineRule="auto"/>
        <w:jc w:val="both"/>
        <w:outlineLvl w:val="1"/>
        <w:rPr>
          <w:rFonts w:ascii="Aptos" w:eastAsia="Times New Roman" w:hAnsi="Aptos" w:cs="Arial"/>
          <w:b/>
          <w:bCs/>
          <w:i/>
          <w:iCs/>
          <w:color w:val="002060"/>
        </w:rPr>
      </w:pPr>
      <w:bookmarkStart w:id="1156" w:name="_Toc216965817"/>
      <w:r w:rsidRPr="00765CDF">
        <w:rPr>
          <w:rFonts w:ascii="Aptos" w:eastAsia="Times New Roman" w:hAnsi="Aptos" w:cs="Arial"/>
          <w:b/>
          <w:bCs/>
          <w:i/>
          <w:iCs/>
          <w:color w:val="002060"/>
        </w:rPr>
        <w:t>The draft decree is expected to be submitted to the Governme</w:t>
      </w:r>
      <w:r>
        <w:rPr>
          <w:rFonts w:ascii="Aptos" w:eastAsia="Times New Roman" w:hAnsi="Aptos" w:cs="Arial"/>
          <w:b/>
          <w:bCs/>
          <w:i/>
          <w:iCs/>
          <w:color w:val="002060"/>
        </w:rPr>
        <w:t>n</w:t>
      </w:r>
      <w:r w:rsidRPr="00765CDF">
        <w:rPr>
          <w:rFonts w:ascii="Aptos" w:eastAsia="Times New Roman" w:hAnsi="Aptos" w:cs="Arial"/>
          <w:b/>
          <w:bCs/>
          <w:i/>
          <w:iCs/>
          <w:color w:val="002060"/>
        </w:rPr>
        <w:t>t in the next couple of months.</w:t>
      </w:r>
      <w:bookmarkEnd w:id="1156"/>
    </w:p>
    <w:p w14:paraId="5367154C" w14:textId="69B2B8B9"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The State Securities Commission (SSC) has completed a draft decree on administrative penalties in the field of crypto assets which is expected to be submitted to the Governme</w:t>
      </w:r>
      <w:r>
        <w:rPr>
          <w:rFonts w:ascii="Aptos" w:eastAsia="Times New Roman" w:hAnsi="Aptos" w:cs="Arial"/>
          <w:color w:val="002060"/>
        </w:rPr>
        <w:t>n</w:t>
      </w:r>
      <w:r w:rsidRPr="00765CDF">
        <w:rPr>
          <w:rFonts w:ascii="Aptos" w:eastAsia="Times New Roman" w:hAnsi="Aptos" w:cs="Arial"/>
          <w:color w:val="002060"/>
        </w:rPr>
        <w:t>t in the next couple of months, according to Mr. Bui Hoang Hai, Vice Chairman of the SSC.</w:t>
      </w:r>
    </w:p>
    <w:p w14:paraId="34A8F35B"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Addressing the Vietnam Capital Market Outlook 2026 Forum in Hanoi on December 12, he said 2025 marks a significant transition as the foundation for the crypto asset market is established and operational, under the Government's Resolution 05, which pilots the digital asset market in Vietnam.</w:t>
      </w:r>
    </w:p>
    <w:p w14:paraId="508CAF5E"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He emphasized that developing the crypto asset market goes beyond establishing trading platforms; it requires building a safe and comprehensive ecosystem where service providers must meet high standards in financial capacity, technology, and risk management, and investors must enhance their responsibility.</w:t>
      </w:r>
    </w:p>
    <w:p w14:paraId="403083AA"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In response to the increasing fraudulent activities and exploitation of crypto assets, regulatory bodies are implementing stringent control measures. "The State Securities Commission has completed a draft decree on administrative penalties in this field, expected to be submitted to the Government in the next couple of months," he said.</w:t>
      </w:r>
    </w:p>
    <w:p w14:paraId="2037D46C" w14:textId="77777777" w:rsidR="00765CDF"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The State Securities Commission will work with various ministries and sectors to manage risks, prevent money laundering, and ensure financial safety and security. With a gradual yet firm approach, the crypto asset market in Vietnam is expected to develop healthily, aligning with economic conditions and realizing its potential.</w:t>
      </w:r>
    </w:p>
    <w:p w14:paraId="75882333" w14:textId="74F3ECCC" w:rsidR="00965321" w:rsidRPr="00765CDF" w:rsidRDefault="00765CDF" w:rsidP="00765CDF">
      <w:pPr>
        <w:shd w:val="clear" w:color="auto" w:fill="FFFFFF"/>
        <w:spacing w:before="100" w:beforeAutospacing="1" w:after="100" w:afterAutospacing="1" w:line="288" w:lineRule="auto"/>
        <w:jc w:val="both"/>
        <w:rPr>
          <w:rFonts w:ascii="Aptos" w:eastAsia="Times New Roman" w:hAnsi="Aptos" w:cs="Arial"/>
          <w:color w:val="002060"/>
        </w:rPr>
      </w:pPr>
      <w:r w:rsidRPr="00765CDF">
        <w:rPr>
          <w:rFonts w:ascii="Aptos" w:eastAsia="Times New Roman" w:hAnsi="Aptos" w:cs="Arial"/>
          <w:color w:val="002060"/>
        </w:rPr>
        <w:t>Currently, the legal framework for crypto assets is being clearly defined through the Digital Technology Industry Law (expected to take effect on May 1, 2026) and the Government's Resolution 05/2025/NQ-CP on piloting digital asset exchanges.</w:t>
      </w:r>
    </w:p>
    <w:p w14:paraId="2D117245" w14:textId="3D975B70" w:rsidR="00C810AC" w:rsidRDefault="00EF600B" w:rsidP="00C810AC">
      <w:pPr>
        <w:spacing w:line="288" w:lineRule="auto"/>
        <w:jc w:val="right"/>
        <w:rPr>
          <w:rStyle w:val="Hyperlink"/>
          <w:rFonts w:ascii="Aptos" w:eastAsia="Malgun Gothic" w:hAnsi="Aptos" w:cs="Times New Roman"/>
          <w:color w:val="002060"/>
        </w:rPr>
      </w:pPr>
      <w:hyperlink w:anchor="_top" w:history="1">
        <w:r w:rsidR="007D0B2D" w:rsidRPr="004C6CBE">
          <w:rPr>
            <w:rStyle w:val="Hyperlink"/>
            <w:rFonts w:ascii="Aptos" w:eastAsia="Malgun Gothic" w:hAnsi="Aptos" w:cs="Times New Roman"/>
            <w:color w:val="002060"/>
          </w:rPr>
          <w:t>Back to Top</w:t>
        </w:r>
      </w:hyperlink>
    </w:p>
    <w:p w14:paraId="31F26E5F" w14:textId="77777777" w:rsidR="00175697" w:rsidRDefault="00175697" w:rsidP="00C810AC">
      <w:pPr>
        <w:spacing w:line="288" w:lineRule="auto"/>
        <w:jc w:val="right"/>
        <w:rPr>
          <w:rStyle w:val="Hyperlink"/>
          <w:rFonts w:ascii="Aptos" w:eastAsia="Malgun Gothic" w:hAnsi="Aptos" w:cs="Times New Roman"/>
          <w:color w:val="002060"/>
        </w:rPr>
      </w:pPr>
    </w:p>
    <w:p w14:paraId="2E1B2370" w14:textId="77777777" w:rsidR="00A34554" w:rsidRPr="00A34554" w:rsidRDefault="00A34554" w:rsidP="00A3455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57" w:name="_Toc216965818"/>
      <w:r w:rsidRPr="00A34554">
        <w:rPr>
          <w:rFonts w:ascii="Aptos" w:eastAsia="Times New Roman" w:hAnsi="Aptos" w:cs="Times New Roman"/>
          <w:b/>
          <w:bCs/>
          <w:color w:val="002060"/>
          <w:kern w:val="36"/>
          <w:sz w:val="28"/>
          <w:szCs w:val="28"/>
        </w:rPr>
        <w:t>A new decree regulates the re-lending of ODA loans and foreign concessional loans</w:t>
      </w:r>
      <w:bookmarkEnd w:id="1157"/>
    </w:p>
    <w:p w14:paraId="622B5507" w14:textId="361E670D" w:rsidR="00A34554" w:rsidRDefault="00A34554" w:rsidP="00A34554">
      <w:pPr>
        <w:spacing w:after="0" w:line="288" w:lineRule="auto"/>
        <w:jc w:val="both"/>
        <w:rPr>
          <w:rFonts w:ascii="Aptos" w:eastAsia="Times New Roman" w:hAnsi="Aptos" w:cs="Times New Roman"/>
          <w:i/>
          <w:iCs/>
          <w:color w:val="002060"/>
          <w:sz w:val="18"/>
          <w:szCs w:val="18"/>
        </w:rPr>
      </w:pPr>
      <w:r w:rsidRPr="00A34554">
        <w:rPr>
          <w:rFonts w:ascii="Aptos" w:eastAsia="Times New Roman" w:hAnsi="Aptos" w:cs="Times New Roman"/>
          <w:i/>
          <w:iCs/>
          <w:color w:val="002060"/>
          <w:sz w:val="18"/>
          <w:szCs w:val="18"/>
        </w:rPr>
        <w:lastRenderedPageBreak/>
        <w:t>VET</w:t>
      </w:r>
    </w:p>
    <w:p w14:paraId="68C99390" w14:textId="77777777" w:rsidR="00A34554" w:rsidRPr="00A34554" w:rsidRDefault="00A34554" w:rsidP="00A34554">
      <w:pPr>
        <w:spacing w:after="0" w:line="288" w:lineRule="auto"/>
        <w:jc w:val="both"/>
        <w:rPr>
          <w:rFonts w:ascii="Aptos" w:eastAsia="Times New Roman" w:hAnsi="Aptos" w:cs="Times New Roman"/>
          <w:i/>
          <w:iCs/>
          <w:color w:val="002060"/>
          <w:sz w:val="18"/>
          <w:szCs w:val="18"/>
        </w:rPr>
      </w:pPr>
    </w:p>
    <w:p w14:paraId="6BF6527F" w14:textId="77777777" w:rsidR="00A34554" w:rsidRPr="00A34554" w:rsidRDefault="00A34554" w:rsidP="00A34554">
      <w:pPr>
        <w:spacing w:after="0" w:line="288" w:lineRule="auto"/>
        <w:jc w:val="both"/>
        <w:rPr>
          <w:rFonts w:ascii="Aptos" w:eastAsia="Times New Roman" w:hAnsi="Aptos" w:cs="Times New Roman"/>
          <w:color w:val="002060"/>
        </w:rPr>
      </w:pPr>
    </w:p>
    <w:p w14:paraId="3369E97A" w14:textId="77777777" w:rsidR="00A34554" w:rsidRPr="00A34554" w:rsidRDefault="00A34554" w:rsidP="00A34554">
      <w:pPr>
        <w:spacing w:after="100" w:afterAutospacing="1" w:line="288" w:lineRule="auto"/>
        <w:jc w:val="both"/>
        <w:outlineLvl w:val="1"/>
        <w:rPr>
          <w:rFonts w:ascii="Aptos" w:eastAsia="Times New Roman" w:hAnsi="Aptos" w:cs="Arial"/>
          <w:b/>
          <w:bCs/>
          <w:i/>
          <w:iCs/>
          <w:color w:val="002060"/>
        </w:rPr>
      </w:pPr>
      <w:bookmarkStart w:id="1158" w:name="_Toc216965819"/>
      <w:r w:rsidRPr="00A34554">
        <w:rPr>
          <w:rFonts w:ascii="Aptos" w:eastAsia="Times New Roman" w:hAnsi="Aptos" w:cs="Arial"/>
          <w:b/>
          <w:bCs/>
          <w:i/>
          <w:iCs/>
          <w:color w:val="002060"/>
        </w:rPr>
        <w:t>Under Decree No. 317/2025/ND-CP, that amends and supplements certain provisions of Decree No. 97/2018/ND-CP, the re-lending of ODA loans and foreign concessional loans are regulated for public scientific and technological organizations, as well as financially autonomous public universities.</w:t>
      </w:r>
      <w:bookmarkEnd w:id="1158"/>
    </w:p>
    <w:p w14:paraId="012EB16F" w14:textId="77777777" w:rsidR="00A34554" w:rsidRPr="00A34554" w:rsidRDefault="00A34554" w:rsidP="00A34554">
      <w:pPr>
        <w:shd w:val="clear" w:color="auto" w:fill="FFFFFF"/>
        <w:spacing w:before="100" w:beforeAutospacing="1" w:after="100" w:afterAutospacing="1" w:line="288" w:lineRule="auto"/>
        <w:jc w:val="both"/>
        <w:rPr>
          <w:rFonts w:ascii="Aptos" w:eastAsia="Times New Roman" w:hAnsi="Aptos" w:cs="Arial"/>
          <w:color w:val="002060"/>
        </w:rPr>
      </w:pPr>
      <w:r w:rsidRPr="00A34554">
        <w:rPr>
          <w:rFonts w:ascii="Aptos" w:eastAsia="Times New Roman" w:hAnsi="Aptos" w:cs="Arial"/>
          <w:color w:val="002060"/>
        </w:rPr>
        <w:t>The Government on December 10 issued Decree No. 317/2025/ND-CP (Decree 317), amending and supplementing certain provisions of Decree No. 97/2018/</w:t>
      </w:r>
      <w:proofErr w:type="spellStart"/>
      <w:r w:rsidRPr="00A34554">
        <w:rPr>
          <w:rFonts w:ascii="Aptos" w:eastAsia="Times New Roman" w:hAnsi="Aptos" w:cs="Arial"/>
          <w:color w:val="002060"/>
        </w:rPr>
        <w:t>NĐ</w:t>
      </w:r>
      <w:proofErr w:type="spellEnd"/>
      <w:r w:rsidRPr="00A34554">
        <w:rPr>
          <w:rFonts w:ascii="Aptos" w:eastAsia="Times New Roman" w:hAnsi="Aptos" w:cs="Arial"/>
          <w:color w:val="002060"/>
        </w:rPr>
        <w:t>-CP regarding the re-lending of ODA loans and foreign concessional loans.</w:t>
      </w:r>
    </w:p>
    <w:p w14:paraId="7759A711" w14:textId="77777777" w:rsidR="00A34554" w:rsidRPr="00A34554" w:rsidRDefault="00A34554" w:rsidP="00A34554">
      <w:pPr>
        <w:shd w:val="clear" w:color="auto" w:fill="FFFFFF"/>
        <w:spacing w:before="100" w:beforeAutospacing="1" w:after="100" w:afterAutospacing="1" w:line="288" w:lineRule="auto"/>
        <w:jc w:val="both"/>
        <w:rPr>
          <w:rFonts w:ascii="Aptos" w:eastAsia="Times New Roman" w:hAnsi="Aptos" w:cs="Arial"/>
          <w:color w:val="002060"/>
        </w:rPr>
      </w:pPr>
      <w:r w:rsidRPr="00A34554">
        <w:rPr>
          <w:rFonts w:ascii="Aptos" w:eastAsia="Times New Roman" w:hAnsi="Aptos" w:cs="Arial"/>
          <w:color w:val="002060"/>
        </w:rPr>
        <w:t>The new decree introduces specific regulations for public scientific and technological organizations, as well as financially autonomous public universities, while clarifying the mechanisms for loan guarantees.</w:t>
      </w:r>
    </w:p>
    <w:p w14:paraId="456B3CC6" w14:textId="77777777" w:rsidR="00A34554" w:rsidRPr="00A34554" w:rsidRDefault="00A34554" w:rsidP="00A34554">
      <w:pPr>
        <w:shd w:val="clear" w:color="auto" w:fill="FFFFFF"/>
        <w:spacing w:before="100" w:beforeAutospacing="1" w:after="100" w:afterAutospacing="1" w:line="288" w:lineRule="auto"/>
        <w:jc w:val="both"/>
        <w:rPr>
          <w:rFonts w:ascii="Aptos" w:eastAsia="Times New Roman" w:hAnsi="Aptos" w:cs="Arial"/>
          <w:color w:val="002060"/>
        </w:rPr>
      </w:pPr>
      <w:r w:rsidRPr="00A34554">
        <w:rPr>
          <w:rFonts w:ascii="Aptos" w:eastAsia="Times New Roman" w:hAnsi="Aptos" w:cs="Arial"/>
          <w:color w:val="002060"/>
        </w:rPr>
        <w:t>Currently, the re-lending of foreign loans by the Government does not specifically apply to "public scientific and technological organizations, financially autonomous public universities," but rather to public service units in general. Decree 317 regulates that public service units that are public scientific and technological organizations or public universities with investment projects in science, technology, innovation, and digital transformation, as outlined in the Politburo's Resolution No. 57-NQ/TW, dated December 22, 2024, and the Law on Science, Technology, and Innovation, are allowed to re-borrow 10% of ODA loans and concessional loans for these investment projects, provided they ensure regular and investment expenditures, according to public debt management laws.</w:t>
      </w:r>
    </w:p>
    <w:p w14:paraId="3E075837" w14:textId="77777777" w:rsidR="00A34554" w:rsidRPr="00A34554" w:rsidRDefault="00A34554" w:rsidP="00A34554">
      <w:pPr>
        <w:shd w:val="clear" w:color="auto" w:fill="FFFFFF"/>
        <w:spacing w:before="100" w:beforeAutospacing="1" w:after="100" w:afterAutospacing="1" w:line="288" w:lineRule="auto"/>
        <w:jc w:val="both"/>
        <w:rPr>
          <w:rFonts w:ascii="Aptos" w:eastAsia="Times New Roman" w:hAnsi="Aptos" w:cs="Arial"/>
          <w:color w:val="002060"/>
        </w:rPr>
      </w:pPr>
      <w:r w:rsidRPr="00A34554">
        <w:rPr>
          <w:rFonts w:ascii="Aptos" w:eastAsia="Times New Roman" w:hAnsi="Aptos" w:cs="Arial"/>
          <w:color w:val="002060"/>
        </w:rPr>
        <w:t>Additionally, Decree 317 also stipulates that these entities are not required to provide loan guarantees, saying that  no loan guarantee is required if a public service unit, being a public scientific and technological organization or a public university, re-borrows foreign loans from the government under the provisions of Point d, Clause 2, Article 21 of this decree, and cannot provide loan guarantees with assets as per legal regulations.</w:t>
      </w:r>
    </w:p>
    <w:p w14:paraId="163189D8" w14:textId="3F761C1D" w:rsidR="005A2095" w:rsidRPr="00A34554" w:rsidRDefault="00A34554" w:rsidP="00A34554">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A34554">
        <w:rPr>
          <w:rFonts w:ascii="Aptos" w:eastAsia="Times New Roman" w:hAnsi="Aptos" w:cs="Arial"/>
          <w:color w:val="002060"/>
        </w:rPr>
        <w:t>In such cases, based on the proposal of the managing agency regarding the inability to provide loan guarantees with assets as per legal regulations and the appraisal opinion of the authorized re-lending agency, the Ministry of Finance will report to the Prime Minister for consideration and decision on re-lending without requiring asset guarantees as stipulated in the decree. The managing agency is fully responsible before the law for the results of reviewing the inability to provide loan guarantees with assets as per legal regulations.</w:t>
      </w:r>
    </w:p>
    <w:p w14:paraId="41E48BB6" w14:textId="77777777" w:rsidR="00687F12" w:rsidRPr="004C6CBE" w:rsidRDefault="00EF600B" w:rsidP="00687F12">
      <w:pPr>
        <w:spacing w:line="288" w:lineRule="auto"/>
        <w:jc w:val="right"/>
        <w:rPr>
          <w:rStyle w:val="Hyperlink"/>
          <w:rFonts w:ascii="Aptos" w:eastAsia="Malgun Gothic" w:hAnsi="Aptos" w:cs="Times New Roman"/>
          <w:color w:val="002060"/>
        </w:rPr>
      </w:pPr>
      <w:hyperlink w:anchor="_top" w:history="1">
        <w:r w:rsidR="00687F12" w:rsidRPr="004C6CBE">
          <w:rPr>
            <w:rStyle w:val="Hyperlink"/>
            <w:rFonts w:ascii="Aptos" w:eastAsia="Malgun Gothic" w:hAnsi="Aptos" w:cs="Times New Roman"/>
            <w:color w:val="002060"/>
          </w:rPr>
          <w:t>Back to Top</w:t>
        </w:r>
      </w:hyperlink>
    </w:p>
    <w:bookmarkEnd w:id="4"/>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sans-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0A6"/>
    <w:multiLevelType w:val="hybridMultilevel"/>
    <w:tmpl w:val="48A0B8AC"/>
    <w:lvl w:ilvl="0" w:tplc="BB52B74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9F51A4F"/>
    <w:multiLevelType w:val="multilevel"/>
    <w:tmpl w:val="F1E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2"/>
  </w:num>
  <w:num w:numId="2" w16cid:durableId="1999963907">
    <w:abstractNumId w:val="20"/>
  </w:num>
  <w:num w:numId="3" w16cid:durableId="187530692">
    <w:abstractNumId w:val="10"/>
  </w:num>
  <w:num w:numId="4" w16cid:durableId="190073924">
    <w:abstractNumId w:val="15"/>
  </w:num>
  <w:num w:numId="5" w16cid:durableId="511577237">
    <w:abstractNumId w:val="29"/>
  </w:num>
  <w:num w:numId="6" w16cid:durableId="725564579">
    <w:abstractNumId w:val="35"/>
  </w:num>
  <w:num w:numId="7" w16cid:durableId="733746827">
    <w:abstractNumId w:val="7"/>
  </w:num>
  <w:num w:numId="8" w16cid:durableId="1770421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98721">
    <w:abstractNumId w:val="4"/>
  </w:num>
  <w:num w:numId="10" w16cid:durableId="377437584">
    <w:abstractNumId w:val="28"/>
  </w:num>
  <w:num w:numId="11" w16cid:durableId="414208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446636">
    <w:abstractNumId w:val="37"/>
  </w:num>
  <w:num w:numId="13" w16cid:durableId="87389667">
    <w:abstractNumId w:val="11"/>
  </w:num>
  <w:num w:numId="14" w16cid:durableId="1542547771">
    <w:abstractNumId w:val="18"/>
  </w:num>
  <w:num w:numId="15" w16cid:durableId="1406226092">
    <w:abstractNumId w:val="14"/>
  </w:num>
  <w:num w:numId="16" w16cid:durableId="330765465">
    <w:abstractNumId w:val="26"/>
  </w:num>
  <w:num w:numId="17" w16cid:durableId="513032599">
    <w:abstractNumId w:val="19"/>
  </w:num>
  <w:num w:numId="18" w16cid:durableId="580674743">
    <w:abstractNumId w:val="6"/>
  </w:num>
  <w:num w:numId="19" w16cid:durableId="7028894">
    <w:abstractNumId w:val="21"/>
  </w:num>
  <w:num w:numId="20" w16cid:durableId="1571766872">
    <w:abstractNumId w:val="23"/>
  </w:num>
  <w:num w:numId="21" w16cid:durableId="1156652552">
    <w:abstractNumId w:val="36"/>
  </w:num>
  <w:num w:numId="22" w16cid:durableId="2079547021">
    <w:abstractNumId w:val="24"/>
  </w:num>
  <w:num w:numId="23" w16cid:durableId="995181791">
    <w:abstractNumId w:val="2"/>
  </w:num>
  <w:num w:numId="24" w16cid:durableId="690574365">
    <w:abstractNumId w:val="5"/>
  </w:num>
  <w:num w:numId="25" w16cid:durableId="365448403">
    <w:abstractNumId w:val="39"/>
  </w:num>
  <w:num w:numId="26" w16cid:durableId="1645700965">
    <w:abstractNumId w:val="1"/>
  </w:num>
  <w:num w:numId="27" w16cid:durableId="1239635132">
    <w:abstractNumId w:val="13"/>
  </w:num>
  <w:num w:numId="28" w16cid:durableId="2071877995">
    <w:abstractNumId w:val="9"/>
  </w:num>
  <w:num w:numId="29" w16cid:durableId="1837070287">
    <w:abstractNumId w:val="33"/>
  </w:num>
  <w:num w:numId="30" w16cid:durableId="1249267205">
    <w:abstractNumId w:val="27"/>
  </w:num>
  <w:num w:numId="31" w16cid:durableId="280264238">
    <w:abstractNumId w:val="38"/>
  </w:num>
  <w:num w:numId="32" w16cid:durableId="1060055379">
    <w:abstractNumId w:val="3"/>
  </w:num>
  <w:num w:numId="33" w16cid:durableId="194583446">
    <w:abstractNumId w:val="12"/>
  </w:num>
  <w:num w:numId="34" w16cid:durableId="737480734">
    <w:abstractNumId w:val="22"/>
  </w:num>
  <w:num w:numId="35" w16cid:durableId="2116829155">
    <w:abstractNumId w:val="40"/>
  </w:num>
  <w:num w:numId="36" w16cid:durableId="1393384543">
    <w:abstractNumId w:val="41"/>
  </w:num>
  <w:num w:numId="37" w16cid:durableId="949701760">
    <w:abstractNumId w:val="34"/>
  </w:num>
  <w:num w:numId="38" w16cid:durableId="910314149">
    <w:abstractNumId w:val="25"/>
  </w:num>
  <w:num w:numId="39" w16cid:durableId="1509559146">
    <w:abstractNumId w:val="8"/>
  </w:num>
  <w:num w:numId="40" w16cid:durableId="956988393">
    <w:abstractNumId w:val="31"/>
  </w:num>
  <w:num w:numId="41" w16cid:durableId="1456556410">
    <w:abstractNumId w:val="16"/>
  </w:num>
  <w:num w:numId="42" w16cid:durableId="43529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5E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AE5"/>
    <w:rsid w:val="00846BB1"/>
    <w:rsid w:val="00846BF2"/>
    <w:rsid w:val="00846CC4"/>
    <w:rsid w:val="00847364"/>
    <w:rsid w:val="0084776C"/>
    <w:rsid w:val="0085087F"/>
    <w:rsid w:val="00850D96"/>
    <w:rsid w:val="00851505"/>
    <w:rsid w:val="00851BB2"/>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7D3"/>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3F3533"/>
    <w:pPr>
      <w:spacing w:before="360" w:after="360"/>
    </w:pPr>
    <w:rPr>
      <w:rFont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r.com.vn/search_enginer.html?p=search&amp;q=renewable%20energy" TargetMode="External"/><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40641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2025-12-18T06:25:00Z</dcterms:created>
  <dcterms:modified xsi:type="dcterms:W3CDTF">2025-12-18T09:22:00Z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