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6553905"/>
    <w:bookmarkStart w:id="1" w:name="_Toc356553938"/>
    <w:bookmarkStart w:id="2" w:name="_Toc356554442"/>
    <w:bookmarkStart w:id="3" w:name="_Toc356554664"/>
    <w:bookmarkStart w:id="4" w:name="_Hlk215144447"/>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186DD"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Default="004D1540" w:rsidP="005D5A13">
      <w:pPr>
        <w:rPr>
          <w:rFonts w:ascii="Aptos" w:eastAsia="Malgun Gothic" w:hAnsi="Aptos"/>
        </w:rPr>
      </w:pPr>
    </w:p>
    <w:p w14:paraId="1B165F07" w14:textId="77777777" w:rsidR="00982DCA" w:rsidRPr="004C6CBE" w:rsidRDefault="00982DCA" w:rsidP="005D5A13">
      <w:pPr>
        <w:rPr>
          <w:rFonts w:ascii="Aptos" w:eastAsia="Malgun Gothic" w:hAnsi="Aptos"/>
        </w:rPr>
      </w:pPr>
    </w:p>
    <w:p w14:paraId="7AEF6564" w14:textId="3B5A35BD" w:rsidR="00A35602" w:rsidRDefault="009119D4" w:rsidP="001838AF">
      <w:pPr>
        <w:pStyle w:val="TOC1"/>
        <w:rPr>
          <w:rStyle w:val="Hyperlink"/>
          <w:color w:val="0070C0"/>
          <w:sz w:val="28"/>
        </w:rPr>
      </w:pPr>
      <w:r w:rsidRPr="00A21D87">
        <w:rPr>
          <w:rStyle w:val="Hyperlink"/>
          <w:color w:val="0070C0"/>
          <w:sz w:val="28"/>
          <w:szCs w:val="22"/>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3B489E4" w14:textId="77777777" w:rsidR="001838AF" w:rsidRPr="001838AF" w:rsidRDefault="001838AF" w:rsidP="001838AF"/>
    <w:p w14:paraId="3AAC304D" w14:textId="077589F2" w:rsidR="001838AF" w:rsidRPr="001838AF" w:rsidRDefault="001838AF" w:rsidP="001838AF">
      <w:pPr>
        <w:pStyle w:val="TOC1"/>
        <w:rPr>
          <w:rStyle w:val="Hyperlink"/>
          <w:color w:val="0070C0"/>
        </w:rPr>
      </w:pPr>
      <w:r w:rsidRPr="001838AF">
        <w:rPr>
          <w:rStyle w:val="Hyperlink"/>
          <w:color w:val="0070C0"/>
          <w:sz w:val="20"/>
          <w:szCs w:val="16"/>
        </w:rPr>
        <w:fldChar w:fldCharType="begin"/>
      </w:r>
      <w:r w:rsidRPr="001838AF">
        <w:rPr>
          <w:rStyle w:val="Hyperlink"/>
          <w:color w:val="0070C0"/>
          <w:sz w:val="20"/>
          <w:szCs w:val="16"/>
        </w:rPr>
        <w:instrText xml:space="preserve"> TOC \o "1-3" \n \h \z \u </w:instrText>
      </w:r>
      <w:r w:rsidRPr="001838AF">
        <w:rPr>
          <w:rStyle w:val="Hyperlink"/>
          <w:color w:val="0070C0"/>
          <w:sz w:val="20"/>
          <w:szCs w:val="16"/>
        </w:rPr>
        <w:fldChar w:fldCharType="separate"/>
      </w:r>
      <w:hyperlink w:anchor="_Toc218772665" w:history="1">
        <w:r w:rsidRPr="001838AF">
          <w:rPr>
            <w:rStyle w:val="Hyperlink"/>
            <w:color w:val="0070C0"/>
          </w:rPr>
          <w:t>TOP NEWS</w:t>
        </w:r>
      </w:hyperlink>
    </w:p>
    <w:p w14:paraId="7AC5C0ED" w14:textId="19113919" w:rsidR="001838AF" w:rsidRPr="001838AF" w:rsidRDefault="001838AF" w:rsidP="001838AF">
      <w:pPr>
        <w:pStyle w:val="TOC1"/>
        <w:rPr>
          <w:rStyle w:val="Hyperlink"/>
          <w:color w:val="0070C0"/>
          <w:sz w:val="20"/>
          <w:szCs w:val="16"/>
        </w:rPr>
      </w:pPr>
      <w:hyperlink w:anchor="_Toc218772666" w:history="1">
        <w:r w:rsidRPr="001838AF">
          <w:rPr>
            <w:rStyle w:val="Hyperlink"/>
            <w:color w:val="0070C0"/>
            <w:sz w:val="20"/>
            <w:szCs w:val="16"/>
          </w:rPr>
          <w:t>VIETNAM - LAW ON CYBERSECURITY 2026 - WHAT YOU MUST KNOW</w:t>
        </w:r>
      </w:hyperlink>
    </w:p>
    <w:p w14:paraId="0F8744D4" w14:textId="4EFE3AF9" w:rsidR="001838AF" w:rsidRPr="001838AF" w:rsidRDefault="001838AF" w:rsidP="001838AF">
      <w:pPr>
        <w:pStyle w:val="TOC1"/>
        <w:rPr>
          <w:rStyle w:val="Hyperlink"/>
          <w:color w:val="0070C0"/>
        </w:rPr>
      </w:pPr>
      <w:hyperlink w:anchor="_Toc218772667" w:history="1">
        <w:r w:rsidRPr="001838AF">
          <w:rPr>
            <w:rStyle w:val="Hyperlink"/>
            <w:color w:val="0070C0"/>
          </w:rPr>
          <w:t>FINANCE</w:t>
        </w:r>
      </w:hyperlink>
    </w:p>
    <w:p w14:paraId="53682EE3" w14:textId="6AECA1ED" w:rsidR="001838AF" w:rsidRPr="001838AF" w:rsidRDefault="001838AF" w:rsidP="001838AF">
      <w:pPr>
        <w:pStyle w:val="TOC1"/>
        <w:rPr>
          <w:rStyle w:val="Hyperlink"/>
          <w:color w:val="0070C0"/>
          <w:sz w:val="20"/>
          <w:szCs w:val="16"/>
        </w:rPr>
      </w:pPr>
      <w:hyperlink w:anchor="_Toc218772668" w:history="1">
        <w:r w:rsidRPr="001838AF">
          <w:rPr>
            <w:rStyle w:val="Hyperlink"/>
            <w:color w:val="0070C0"/>
            <w:sz w:val="20"/>
            <w:szCs w:val="16"/>
          </w:rPr>
          <w:t>Banks to tighten collateral and credit rating criteria</w:t>
        </w:r>
      </w:hyperlink>
    </w:p>
    <w:p w14:paraId="2C47BE4E" w14:textId="6B7948FB" w:rsidR="001838AF" w:rsidRPr="001838AF" w:rsidRDefault="001838AF" w:rsidP="001838AF">
      <w:pPr>
        <w:pStyle w:val="TOC1"/>
        <w:rPr>
          <w:rStyle w:val="Hyperlink"/>
          <w:color w:val="0070C0"/>
          <w:sz w:val="20"/>
          <w:szCs w:val="16"/>
        </w:rPr>
      </w:pPr>
      <w:hyperlink w:anchor="_Toc218772670" w:history="1">
        <w:r w:rsidRPr="001838AF">
          <w:rPr>
            <w:rStyle w:val="Hyperlink"/>
            <w:color w:val="0070C0"/>
            <w:sz w:val="20"/>
            <w:szCs w:val="16"/>
          </w:rPr>
          <w:t>PM assigns key tasks for banking sector to achieve double-digit growth in 2026</w:t>
        </w:r>
      </w:hyperlink>
    </w:p>
    <w:p w14:paraId="15223F60" w14:textId="12D569EE" w:rsidR="001838AF" w:rsidRPr="001838AF" w:rsidRDefault="001838AF" w:rsidP="001838AF">
      <w:pPr>
        <w:pStyle w:val="TOC1"/>
        <w:rPr>
          <w:rStyle w:val="Hyperlink"/>
          <w:color w:val="0070C0"/>
        </w:rPr>
      </w:pPr>
      <w:hyperlink w:anchor="_Toc218772672" w:history="1">
        <w:r w:rsidRPr="001838AF">
          <w:rPr>
            <w:rStyle w:val="Hyperlink"/>
            <w:color w:val="0070C0"/>
          </w:rPr>
          <w:t>ECONOMY</w:t>
        </w:r>
      </w:hyperlink>
    </w:p>
    <w:p w14:paraId="5DE60AA8" w14:textId="5B14C6CB" w:rsidR="001838AF" w:rsidRPr="001838AF" w:rsidRDefault="001838AF" w:rsidP="001838AF">
      <w:pPr>
        <w:pStyle w:val="TOC1"/>
        <w:rPr>
          <w:rStyle w:val="Hyperlink"/>
          <w:color w:val="0070C0"/>
          <w:sz w:val="20"/>
          <w:szCs w:val="16"/>
        </w:rPr>
      </w:pPr>
      <w:hyperlink w:anchor="_Toc218772673" w:history="1">
        <w:r w:rsidRPr="001838AF">
          <w:rPr>
            <w:rStyle w:val="Hyperlink"/>
            <w:color w:val="0070C0"/>
            <w:sz w:val="20"/>
            <w:szCs w:val="16"/>
          </w:rPr>
          <w:t>Vietnam's 2025 GDP grows 8.02%</w:t>
        </w:r>
      </w:hyperlink>
    </w:p>
    <w:p w14:paraId="262C5348" w14:textId="7F1523E3" w:rsidR="001838AF" w:rsidRPr="001838AF" w:rsidRDefault="001838AF" w:rsidP="001838AF">
      <w:pPr>
        <w:pStyle w:val="TOC1"/>
        <w:rPr>
          <w:rStyle w:val="Hyperlink"/>
          <w:color w:val="0070C0"/>
          <w:sz w:val="20"/>
          <w:szCs w:val="16"/>
        </w:rPr>
      </w:pPr>
      <w:hyperlink w:anchor="_Toc218772675" w:history="1">
        <w:r w:rsidRPr="001838AF">
          <w:rPr>
            <w:rStyle w:val="Hyperlink"/>
            <w:color w:val="0070C0"/>
            <w:sz w:val="20"/>
            <w:szCs w:val="16"/>
          </w:rPr>
          <w:t>Plan approved to implement Việt Nam – Israel FTA</w:t>
        </w:r>
      </w:hyperlink>
    </w:p>
    <w:p w14:paraId="13CA6D6A" w14:textId="7FE2EAF4" w:rsidR="001838AF" w:rsidRPr="001838AF" w:rsidRDefault="001838AF" w:rsidP="001838AF">
      <w:pPr>
        <w:pStyle w:val="TOC1"/>
        <w:rPr>
          <w:rStyle w:val="Hyperlink"/>
          <w:color w:val="0070C0"/>
        </w:rPr>
      </w:pPr>
      <w:hyperlink w:anchor="_Toc218772677" w:history="1">
        <w:r w:rsidRPr="001838AF">
          <w:rPr>
            <w:rStyle w:val="Hyperlink"/>
            <w:color w:val="0070C0"/>
          </w:rPr>
          <w:t>INVESTMENT</w:t>
        </w:r>
      </w:hyperlink>
    </w:p>
    <w:p w14:paraId="57D444B6" w14:textId="5FB6408E" w:rsidR="001838AF" w:rsidRPr="001838AF" w:rsidRDefault="001838AF" w:rsidP="001838AF">
      <w:pPr>
        <w:pStyle w:val="TOC1"/>
        <w:rPr>
          <w:rStyle w:val="Hyperlink"/>
          <w:color w:val="0070C0"/>
          <w:sz w:val="20"/>
          <w:szCs w:val="16"/>
        </w:rPr>
      </w:pPr>
      <w:hyperlink w:anchor="_Toc218772678" w:history="1">
        <w:r w:rsidRPr="001838AF">
          <w:rPr>
            <w:rStyle w:val="Hyperlink"/>
            <w:color w:val="0070C0"/>
            <w:sz w:val="20"/>
            <w:szCs w:val="16"/>
          </w:rPr>
          <w:t>FDI inflows reach $38.42 billion in 2025</w:t>
        </w:r>
      </w:hyperlink>
    </w:p>
    <w:p w14:paraId="055CE5B8" w14:textId="7A9C05F3" w:rsidR="001838AF" w:rsidRPr="001838AF" w:rsidRDefault="001838AF" w:rsidP="001838AF">
      <w:pPr>
        <w:pStyle w:val="TOC1"/>
        <w:rPr>
          <w:rStyle w:val="Hyperlink"/>
          <w:color w:val="0070C0"/>
          <w:sz w:val="20"/>
          <w:szCs w:val="16"/>
        </w:rPr>
      </w:pPr>
      <w:hyperlink w:anchor="_Toc218772679" w:history="1">
        <w:r w:rsidRPr="001838AF">
          <w:rPr>
            <w:rStyle w:val="Hyperlink"/>
            <w:color w:val="0070C0"/>
            <w:sz w:val="20"/>
            <w:szCs w:val="16"/>
          </w:rPr>
          <w:t>Meiko strengthens Vietnam operations with new PCB plants</w:t>
        </w:r>
      </w:hyperlink>
    </w:p>
    <w:p w14:paraId="57E57106" w14:textId="7D791809" w:rsidR="001838AF" w:rsidRPr="001838AF" w:rsidRDefault="001838AF" w:rsidP="001838AF">
      <w:pPr>
        <w:pStyle w:val="TOC1"/>
        <w:rPr>
          <w:rStyle w:val="Hyperlink"/>
          <w:color w:val="0070C0"/>
        </w:rPr>
      </w:pPr>
      <w:hyperlink w:anchor="_Toc218772680" w:history="1">
        <w:r w:rsidRPr="001838AF">
          <w:rPr>
            <w:rStyle w:val="Hyperlink"/>
            <w:color w:val="0070C0"/>
          </w:rPr>
          <w:t>PROPERTY</w:t>
        </w:r>
      </w:hyperlink>
    </w:p>
    <w:p w14:paraId="182DE154" w14:textId="62C48739" w:rsidR="001838AF" w:rsidRPr="001838AF" w:rsidRDefault="001838AF" w:rsidP="001838AF">
      <w:pPr>
        <w:pStyle w:val="TOC1"/>
        <w:rPr>
          <w:rStyle w:val="Hyperlink"/>
          <w:color w:val="0070C0"/>
          <w:sz w:val="20"/>
          <w:szCs w:val="16"/>
        </w:rPr>
      </w:pPr>
      <w:hyperlink w:anchor="_Toc218772681" w:history="1">
        <w:r w:rsidRPr="001838AF">
          <w:rPr>
            <w:rStyle w:val="Hyperlink"/>
            <w:color w:val="0070C0"/>
            <w:sz w:val="20"/>
            <w:szCs w:val="16"/>
          </w:rPr>
          <w:t>Digital ID codes will be assigned to real estate properties</w:t>
        </w:r>
      </w:hyperlink>
    </w:p>
    <w:p w14:paraId="6E6C4F2B" w14:textId="2C8BA9CC" w:rsidR="001838AF" w:rsidRPr="001838AF" w:rsidRDefault="001838AF" w:rsidP="001838AF">
      <w:pPr>
        <w:pStyle w:val="TOC1"/>
        <w:rPr>
          <w:rStyle w:val="Hyperlink"/>
          <w:color w:val="0070C0"/>
          <w:sz w:val="20"/>
          <w:szCs w:val="16"/>
        </w:rPr>
      </w:pPr>
      <w:hyperlink w:anchor="_Toc218772683" w:history="1">
        <w:r w:rsidRPr="001838AF">
          <w:rPr>
            <w:rStyle w:val="Hyperlink"/>
            <w:color w:val="0070C0"/>
            <w:sz w:val="20"/>
            <w:szCs w:val="16"/>
          </w:rPr>
          <w:t>Hanoi announces 39 projects designated for social housing investment</w:t>
        </w:r>
      </w:hyperlink>
    </w:p>
    <w:p w14:paraId="6A99AFDA" w14:textId="50DBF883" w:rsidR="001838AF" w:rsidRPr="001838AF" w:rsidRDefault="001838AF" w:rsidP="001838AF">
      <w:pPr>
        <w:pStyle w:val="TOC1"/>
        <w:rPr>
          <w:rStyle w:val="Hyperlink"/>
          <w:color w:val="0070C0"/>
        </w:rPr>
      </w:pPr>
      <w:hyperlink w:anchor="_Toc218772685" w:history="1">
        <w:r w:rsidRPr="001838AF">
          <w:rPr>
            <w:rStyle w:val="Hyperlink"/>
            <w:color w:val="0070C0"/>
          </w:rPr>
          <w:t>OIL&amp;GAS&amp;ENERGY&amp;MINING</w:t>
        </w:r>
      </w:hyperlink>
    </w:p>
    <w:p w14:paraId="24FC2227" w14:textId="333BD1A9" w:rsidR="001838AF" w:rsidRPr="001838AF" w:rsidRDefault="001838AF" w:rsidP="001838AF">
      <w:pPr>
        <w:pStyle w:val="TOC1"/>
        <w:rPr>
          <w:rStyle w:val="Hyperlink"/>
          <w:color w:val="0070C0"/>
          <w:sz w:val="20"/>
          <w:szCs w:val="16"/>
        </w:rPr>
      </w:pPr>
      <w:hyperlink w:anchor="_Toc218772686" w:history="1">
        <w:r w:rsidRPr="001838AF">
          <w:rPr>
            <w:rStyle w:val="Hyperlink"/>
            <w:color w:val="0070C0"/>
            <w:sz w:val="20"/>
            <w:szCs w:val="16"/>
          </w:rPr>
          <w:t>GE Vernova powers up Vietnam with first 9HA gas power plant in the country</w:t>
        </w:r>
      </w:hyperlink>
    </w:p>
    <w:p w14:paraId="77B6F17B" w14:textId="72204169" w:rsidR="001838AF" w:rsidRPr="001838AF" w:rsidRDefault="001838AF" w:rsidP="001838AF">
      <w:pPr>
        <w:pStyle w:val="TOC1"/>
        <w:rPr>
          <w:rStyle w:val="Hyperlink"/>
          <w:color w:val="0070C0"/>
          <w:sz w:val="20"/>
          <w:szCs w:val="16"/>
        </w:rPr>
      </w:pPr>
      <w:hyperlink w:anchor="_Toc218772687" w:history="1">
        <w:r w:rsidRPr="001838AF">
          <w:rPr>
            <w:rStyle w:val="Hyperlink"/>
            <w:color w:val="0070C0"/>
            <w:sz w:val="20"/>
            <w:szCs w:val="16"/>
          </w:rPr>
          <w:t>Top 10 Landmark Events of Vietnam’s Energy Sector in 2025</w:t>
        </w:r>
      </w:hyperlink>
    </w:p>
    <w:p w14:paraId="405AE82E" w14:textId="20023CD7" w:rsidR="001838AF" w:rsidRPr="001838AF" w:rsidRDefault="001838AF" w:rsidP="001838AF">
      <w:pPr>
        <w:pStyle w:val="TOC1"/>
        <w:rPr>
          <w:rStyle w:val="Hyperlink"/>
          <w:color w:val="0070C0"/>
        </w:rPr>
      </w:pPr>
      <w:hyperlink w:anchor="_Toc218772688" w:history="1">
        <w:r w:rsidRPr="001838AF">
          <w:rPr>
            <w:rStyle w:val="Hyperlink"/>
            <w:color w:val="0070C0"/>
          </w:rPr>
          <w:t>LEGAL</w:t>
        </w:r>
      </w:hyperlink>
    </w:p>
    <w:p w14:paraId="7A8A0725" w14:textId="353D9471" w:rsidR="001838AF" w:rsidRPr="001838AF" w:rsidRDefault="001838AF" w:rsidP="001838AF">
      <w:pPr>
        <w:pStyle w:val="TOC1"/>
        <w:rPr>
          <w:rStyle w:val="Hyperlink"/>
          <w:color w:val="0070C0"/>
          <w:sz w:val="20"/>
          <w:szCs w:val="16"/>
        </w:rPr>
      </w:pPr>
      <w:hyperlink w:anchor="_Toc218772689" w:history="1">
        <w:r w:rsidRPr="001838AF">
          <w:rPr>
            <w:rStyle w:val="Hyperlink"/>
            <w:color w:val="0070C0"/>
            <w:sz w:val="20"/>
            <w:szCs w:val="16"/>
          </w:rPr>
          <w:t>New regulations mark key shift in investment fund management</w:t>
        </w:r>
      </w:hyperlink>
    </w:p>
    <w:p w14:paraId="1C411FDD" w14:textId="111FAF10" w:rsidR="001838AF" w:rsidRPr="001838AF" w:rsidRDefault="001838AF" w:rsidP="001838AF">
      <w:pPr>
        <w:pStyle w:val="TOC1"/>
        <w:rPr>
          <w:rStyle w:val="Hyperlink"/>
          <w:color w:val="0070C0"/>
          <w:sz w:val="20"/>
          <w:szCs w:val="16"/>
        </w:rPr>
      </w:pPr>
      <w:hyperlink w:anchor="_Toc218772690" w:history="1">
        <w:r w:rsidRPr="001838AF">
          <w:rPr>
            <w:rStyle w:val="Hyperlink"/>
            <w:color w:val="0070C0"/>
            <w:sz w:val="20"/>
            <w:szCs w:val="16"/>
          </w:rPr>
          <w:t>New decree spurs on PPP implementation</w:t>
        </w:r>
      </w:hyperlink>
    </w:p>
    <w:p w14:paraId="44F53FD1" w14:textId="097019DC" w:rsidR="00B65CC6" w:rsidRPr="00B65CC6" w:rsidRDefault="001838AF" w:rsidP="001838AF">
      <w:pPr>
        <w:pStyle w:val="TOC1"/>
      </w:pPr>
      <w:r w:rsidRPr="001838AF">
        <w:rPr>
          <w:rStyle w:val="Hyperlink"/>
          <w:color w:val="0070C0"/>
          <w:sz w:val="20"/>
          <w:szCs w:val="16"/>
        </w:rPr>
        <w:fldChar w:fldCharType="end"/>
      </w:r>
    </w:p>
    <w:p w14:paraId="57C3BF13" w14:textId="77777777" w:rsidR="001838AF" w:rsidRDefault="001838AF" w:rsidP="0016521C">
      <w:pPr>
        <w:pStyle w:val="Heading1"/>
        <w:shd w:val="clear" w:color="auto" w:fill="FFFFFF"/>
        <w:spacing w:before="0" w:line="288" w:lineRule="atLeast"/>
        <w:rPr>
          <w:rFonts w:ascii="Aptos" w:eastAsia="Malgun Gothic" w:hAnsi="Aptos" w:cs="Times New Roman"/>
          <w:color w:val="002060"/>
        </w:rPr>
      </w:pPr>
      <w:bookmarkStart w:id="59" w:name="_Toc216965790"/>
      <w:bookmarkStart w:id="60" w:name="_Toc217639116"/>
      <w:bookmarkStart w:id="61" w:name="_Toc218772665"/>
    </w:p>
    <w:p w14:paraId="23923D9A" w14:textId="1F032C35" w:rsidR="0016521C" w:rsidRDefault="0016521C" w:rsidP="0016521C">
      <w:pPr>
        <w:pStyle w:val="Heading1"/>
        <w:shd w:val="clear" w:color="auto" w:fill="FFFFFF"/>
        <w:spacing w:before="0" w:line="288" w:lineRule="atLeast"/>
        <w:rPr>
          <w:rFonts w:ascii="Aptos" w:eastAsia="Malgun Gothic" w:hAnsi="Aptos" w:cs="Times New Roman"/>
          <w:color w:val="002060"/>
        </w:rPr>
      </w:pPr>
      <w:r>
        <w:rPr>
          <w:rFonts w:ascii="Aptos" w:eastAsia="Malgun Gothic" w:hAnsi="Aptos" w:cs="Times New Roman"/>
          <w:color w:val="002060"/>
        </w:rPr>
        <w:t>TOP NEWS</w:t>
      </w:r>
      <w:bookmarkEnd w:id="59"/>
      <w:bookmarkEnd w:id="60"/>
      <w:bookmarkEnd w:id="61"/>
    </w:p>
    <w:p w14:paraId="72457152" w14:textId="77777777" w:rsidR="007D1B3B" w:rsidRPr="007D1B3B" w:rsidRDefault="007D1B3B" w:rsidP="007D1B3B"/>
    <w:p w14:paraId="1C4B3912" w14:textId="77777777" w:rsidR="007D1B3B" w:rsidRPr="007D1B3B" w:rsidRDefault="007D1B3B" w:rsidP="001838AF">
      <w:pPr>
        <w:pStyle w:val="Heading2"/>
        <w:rPr>
          <w:rFonts w:ascii="Aptos" w:eastAsia="Times New Roman" w:hAnsi="Aptos"/>
          <w:b w:val="0"/>
          <w:bCs w:val="0"/>
          <w:color w:val="002060"/>
          <w:sz w:val="22"/>
          <w:szCs w:val="22"/>
        </w:rPr>
      </w:pPr>
      <w:bookmarkStart w:id="62" w:name="_Toc218772666"/>
      <w:r w:rsidRPr="007D1B3B">
        <w:rPr>
          <w:rFonts w:ascii="Aptos" w:eastAsia="Times New Roman" w:hAnsi="Aptos"/>
          <w:color w:val="002060"/>
          <w:sz w:val="22"/>
          <w:szCs w:val="22"/>
        </w:rPr>
        <w:t>VIETNAM - LAW ON CYBERSECURITY 2026 - WHAT YOU MUST KNOW</w:t>
      </w:r>
      <w:bookmarkEnd w:id="62"/>
    </w:p>
    <w:p w14:paraId="0CD9353E" w14:textId="402A5D20" w:rsidR="007D1B3B" w:rsidRPr="007D1B3B" w:rsidRDefault="007D1B3B" w:rsidP="007D1B3B">
      <w:pPr>
        <w:shd w:val="clear" w:color="auto" w:fill="FFFFFF"/>
        <w:spacing w:line="288" w:lineRule="auto"/>
        <w:jc w:val="both"/>
        <w:rPr>
          <w:rFonts w:ascii="Aptos" w:eastAsia="Times New Roman" w:hAnsi="Aptos" w:cs="Times New Roman"/>
          <w:i/>
          <w:iCs/>
          <w:color w:val="002060"/>
          <w:sz w:val="18"/>
          <w:szCs w:val="18"/>
        </w:rPr>
      </w:pPr>
      <w:r w:rsidRPr="007D1B3B">
        <w:rPr>
          <w:rFonts w:ascii="Aptos" w:eastAsia="Times New Roman" w:hAnsi="Aptos" w:cs="Times New Roman"/>
          <w:i/>
          <w:iCs/>
          <w:color w:val="002060"/>
          <w:sz w:val="18"/>
          <w:szCs w:val="18"/>
        </w:rPr>
        <w:t>Dr. Oliver Massmann</w:t>
      </w:r>
      <w:r>
        <w:rPr>
          <w:rFonts w:ascii="Aptos" w:eastAsia="Times New Roman" w:hAnsi="Aptos" w:cs="Times New Roman"/>
          <w:i/>
          <w:iCs/>
          <w:color w:val="002060"/>
          <w:sz w:val="18"/>
          <w:szCs w:val="18"/>
        </w:rPr>
        <w:t xml:space="preserve"> -</w:t>
      </w:r>
      <w:r w:rsidRPr="007D1B3B">
        <w:rPr>
          <w:rFonts w:ascii="Aptos" w:eastAsia="Times New Roman" w:hAnsi="Aptos" w:cs="Times New Roman"/>
          <w:i/>
          <w:iCs/>
          <w:color w:val="002060"/>
          <w:sz w:val="18"/>
          <w:szCs w:val="18"/>
        </w:rPr>
        <w:t xml:space="preserve"> </w:t>
      </w:r>
      <w:r w:rsidRPr="007D1B3B">
        <w:rPr>
          <w:rFonts w:ascii="Aptos" w:eastAsia="Times New Roman" w:hAnsi="Aptos" w:cs="Times New Roman"/>
          <w:i/>
          <w:iCs/>
          <w:color w:val="002060"/>
          <w:sz w:val="18"/>
          <w:szCs w:val="18"/>
        </w:rPr>
        <w:t>Duane Morris Vietnam LLC</w:t>
      </w:r>
    </w:p>
    <w:p w14:paraId="357D7CBF" w14:textId="275F7C4B" w:rsidR="007D1B3B" w:rsidRPr="007D1B3B" w:rsidRDefault="007D1B3B" w:rsidP="007D1B3B">
      <w:pPr>
        <w:spacing w:line="288" w:lineRule="auto"/>
        <w:jc w:val="both"/>
        <w:rPr>
          <w:rFonts w:ascii="Aptos" w:hAnsi="Aptos"/>
          <w:color w:val="002060"/>
        </w:rPr>
      </w:pPr>
      <w:r w:rsidRPr="007D1B3B">
        <w:rPr>
          <w:rFonts w:ascii="Aptos" w:hAnsi="Aptos" w:cs="Calibri"/>
          <w:color w:val="002060"/>
        </w:rPr>
        <w:t>On 10 December 2025, the National Assembly passed the new Law on Cybersecurity No. 116/2025/</w:t>
      </w:r>
      <w:proofErr w:type="spellStart"/>
      <w:r w:rsidRPr="007D1B3B">
        <w:rPr>
          <w:rFonts w:ascii="Aptos" w:hAnsi="Aptos" w:cs="Calibri"/>
          <w:color w:val="002060"/>
        </w:rPr>
        <w:t>QH15</w:t>
      </w:r>
      <w:proofErr w:type="spellEnd"/>
      <w:r w:rsidRPr="007D1B3B">
        <w:rPr>
          <w:rFonts w:ascii="Aptos" w:hAnsi="Aptos" w:cs="Calibri"/>
          <w:color w:val="002060"/>
        </w:rPr>
        <w:t xml:space="preserve"> (“</w:t>
      </w:r>
      <w:r w:rsidRPr="007D1B3B">
        <w:rPr>
          <w:rFonts w:ascii="Aptos" w:hAnsi="Aptos" w:cs="Calibri"/>
          <w:b/>
          <w:bCs/>
          <w:color w:val="002060"/>
        </w:rPr>
        <w:t>Law on Cybersecurity 2025</w:t>
      </w:r>
      <w:r w:rsidRPr="007D1B3B">
        <w:rPr>
          <w:rFonts w:ascii="Aptos" w:hAnsi="Aptos" w:cs="Calibri"/>
          <w:color w:val="002060"/>
        </w:rPr>
        <w:t>”) to replace the current Law on Cybersecurity No. 24/2018/</w:t>
      </w:r>
      <w:proofErr w:type="spellStart"/>
      <w:r w:rsidRPr="007D1B3B">
        <w:rPr>
          <w:rFonts w:ascii="Aptos" w:hAnsi="Aptos" w:cs="Calibri"/>
          <w:color w:val="002060"/>
        </w:rPr>
        <w:t>QH14</w:t>
      </w:r>
      <w:proofErr w:type="spellEnd"/>
      <w:r w:rsidRPr="007D1B3B">
        <w:rPr>
          <w:rFonts w:ascii="Aptos" w:hAnsi="Aptos" w:cs="Calibri"/>
          <w:color w:val="002060"/>
        </w:rPr>
        <w:t>, effective from 1 July 2026. Law on</w:t>
      </w:r>
      <w:r w:rsidRPr="007D1B3B">
        <w:rPr>
          <w:rFonts w:ascii="Aptos" w:hAnsi="Aptos" w:cs="Calibri"/>
          <w:b/>
          <w:bCs/>
          <w:color w:val="002060"/>
        </w:rPr>
        <w:t xml:space="preserve"> </w:t>
      </w:r>
      <w:r w:rsidRPr="007D1B3B">
        <w:rPr>
          <w:rFonts w:ascii="Aptos" w:hAnsi="Aptos" w:cs="Calibri"/>
          <w:color w:val="002060"/>
        </w:rPr>
        <w:t>Cybersecurity 2025 represents a major overhaul of Vietnam's digital legal framework, effectively consolidating and replacing both the Law on Cyber Information Security 2015 and the Law on Cybersecurity 2018. Major changes and new provisions:</w:t>
      </w:r>
    </w:p>
    <w:p w14:paraId="2A2789A6" w14:textId="77777777" w:rsidR="007D1B3B" w:rsidRPr="007D1B3B" w:rsidRDefault="007D1B3B" w:rsidP="007D1B3B">
      <w:pPr>
        <w:pStyle w:val="ListParagraph"/>
        <w:numPr>
          <w:ilvl w:val="0"/>
          <w:numId w:val="2"/>
        </w:numPr>
        <w:spacing w:after="0" w:line="288" w:lineRule="auto"/>
        <w:contextualSpacing w:val="0"/>
        <w:jc w:val="both"/>
        <w:rPr>
          <w:rFonts w:ascii="Aptos" w:eastAsia="Times New Roman" w:hAnsi="Aptos"/>
          <w:color w:val="002060"/>
        </w:rPr>
      </w:pPr>
      <w:r w:rsidRPr="007D1B3B">
        <w:rPr>
          <w:rFonts w:ascii="Aptos" w:eastAsia="Times New Roman" w:hAnsi="Aptos" w:cs="Calibri"/>
          <w:b/>
          <w:bCs/>
          <w:color w:val="002060"/>
        </w:rPr>
        <w:t>Stricter content moderation timelines</w:t>
      </w:r>
      <w:r w:rsidRPr="007D1B3B">
        <w:rPr>
          <w:rFonts w:ascii="Aptos" w:eastAsia="Times New Roman" w:hAnsi="Aptos" w:cs="Calibri"/>
          <w:color w:val="002060"/>
        </w:rPr>
        <w:t>: Law on Cybersecurity 2025 sets out golden hours for removing illegal content. In case of contents violating the regulations of the Law, such contents must be removed by service providers within 24 hours at the latest from the time of request by the Ministry of Public Security. In urgent cases, the removal must be made within 6 hours at the latest.</w:t>
      </w:r>
    </w:p>
    <w:p w14:paraId="49D86C1D" w14:textId="77777777" w:rsidR="007D1B3B" w:rsidRPr="007D1B3B" w:rsidRDefault="007D1B3B" w:rsidP="007D1B3B">
      <w:pPr>
        <w:pStyle w:val="ListParagraph"/>
        <w:numPr>
          <w:ilvl w:val="0"/>
          <w:numId w:val="2"/>
        </w:numPr>
        <w:spacing w:after="0" w:line="288" w:lineRule="auto"/>
        <w:contextualSpacing w:val="0"/>
        <w:jc w:val="both"/>
        <w:rPr>
          <w:rFonts w:ascii="Aptos" w:eastAsia="Times New Roman" w:hAnsi="Aptos"/>
          <w:color w:val="002060"/>
        </w:rPr>
      </w:pPr>
      <w:r w:rsidRPr="007D1B3B">
        <w:rPr>
          <w:rFonts w:ascii="Aptos" w:eastAsia="Times New Roman" w:hAnsi="Aptos" w:cs="Calibri"/>
          <w:b/>
          <w:bCs/>
          <w:color w:val="002060"/>
        </w:rPr>
        <w:t>More protection</w:t>
      </w:r>
      <w:r w:rsidRPr="007D1B3B">
        <w:rPr>
          <w:rFonts w:ascii="Aptos" w:eastAsia="Times New Roman" w:hAnsi="Aptos" w:cs="Calibri"/>
          <w:color w:val="002060"/>
        </w:rPr>
        <w:t xml:space="preserve">: The new Law gives more protection to information systems, especially those critical to national security. Notably, operators of information systems classified as critical to national security are required to conduct mandatory cybersecurity assessment, report and coordinate with cybersecurity taskforces on a continuous basis. </w:t>
      </w:r>
    </w:p>
    <w:p w14:paraId="0EB860F7" w14:textId="77777777" w:rsidR="007D1B3B" w:rsidRPr="007D1B3B" w:rsidRDefault="007D1B3B" w:rsidP="007D1B3B">
      <w:pPr>
        <w:pStyle w:val="ListParagraph"/>
        <w:numPr>
          <w:ilvl w:val="0"/>
          <w:numId w:val="2"/>
        </w:numPr>
        <w:spacing w:after="0" w:line="288" w:lineRule="auto"/>
        <w:contextualSpacing w:val="0"/>
        <w:jc w:val="both"/>
        <w:rPr>
          <w:rFonts w:ascii="Aptos" w:eastAsia="Times New Roman" w:hAnsi="Aptos"/>
          <w:color w:val="002060"/>
        </w:rPr>
      </w:pPr>
      <w:r w:rsidRPr="007D1B3B">
        <w:rPr>
          <w:rFonts w:ascii="Aptos" w:eastAsia="Times New Roman" w:hAnsi="Aptos" w:cs="Calibri"/>
          <w:b/>
          <w:bCs/>
          <w:color w:val="002060"/>
        </w:rPr>
        <w:t>Artificial Intelligence (AI)</w:t>
      </w:r>
      <w:r w:rsidRPr="007D1B3B">
        <w:rPr>
          <w:rFonts w:ascii="Aptos" w:eastAsia="Times New Roman" w:hAnsi="Aptos" w:cs="Calibri"/>
          <w:color w:val="002060"/>
        </w:rPr>
        <w:t>: Law on Cybersecurity 2025 strictly prohibits using AI or new technologies to forge images, voices, or videos of others for illegal purposes.</w:t>
      </w:r>
    </w:p>
    <w:p w14:paraId="526CA1B2" w14:textId="77777777" w:rsidR="007D1B3B" w:rsidRPr="007D1B3B" w:rsidRDefault="007D1B3B" w:rsidP="007D1B3B">
      <w:pPr>
        <w:pStyle w:val="ListParagraph"/>
        <w:numPr>
          <w:ilvl w:val="0"/>
          <w:numId w:val="2"/>
        </w:numPr>
        <w:spacing w:after="0" w:line="288" w:lineRule="auto"/>
        <w:contextualSpacing w:val="0"/>
        <w:jc w:val="both"/>
        <w:rPr>
          <w:rFonts w:ascii="Aptos" w:eastAsia="Times New Roman" w:hAnsi="Aptos"/>
          <w:color w:val="002060"/>
        </w:rPr>
      </w:pPr>
      <w:r w:rsidRPr="007D1B3B">
        <w:rPr>
          <w:rFonts w:ascii="Aptos" w:eastAsia="Times New Roman" w:hAnsi="Aptos" w:cs="Calibri"/>
          <w:b/>
          <w:bCs/>
          <w:color w:val="002060"/>
        </w:rPr>
        <w:t>Protection of vulnerable groups</w:t>
      </w:r>
      <w:r w:rsidRPr="007D1B3B">
        <w:rPr>
          <w:rFonts w:ascii="Aptos" w:eastAsia="Times New Roman" w:hAnsi="Aptos" w:cs="Calibri"/>
          <w:color w:val="002060"/>
        </w:rPr>
        <w:t>: the new Law introduces provisions on child safety and platform responsibility where (</w:t>
      </w:r>
      <w:proofErr w:type="spellStart"/>
      <w:r w:rsidRPr="007D1B3B">
        <w:rPr>
          <w:rFonts w:ascii="Aptos" w:eastAsia="Times New Roman" w:hAnsi="Aptos" w:cs="Calibri"/>
          <w:color w:val="002060"/>
        </w:rPr>
        <w:t>i</w:t>
      </w:r>
      <w:proofErr w:type="spellEnd"/>
      <w:r w:rsidRPr="007D1B3B">
        <w:rPr>
          <w:rFonts w:ascii="Aptos" w:eastAsia="Times New Roman" w:hAnsi="Aptos" w:cs="Calibri"/>
          <w:color w:val="002060"/>
        </w:rPr>
        <w:t>) parents or guardians must register accounts for children using value-added services online using their own information, and (ii) Service providers must implement technical measures to filter and prevent content that harms or exploits children.</w:t>
      </w:r>
    </w:p>
    <w:p w14:paraId="2C840BD2" w14:textId="77777777" w:rsidR="007D1B3B" w:rsidRPr="007D1B3B" w:rsidRDefault="007D1B3B" w:rsidP="007D1B3B">
      <w:pPr>
        <w:pStyle w:val="ListParagraph"/>
        <w:numPr>
          <w:ilvl w:val="0"/>
          <w:numId w:val="2"/>
        </w:numPr>
        <w:spacing w:after="0" w:line="288" w:lineRule="auto"/>
        <w:contextualSpacing w:val="0"/>
        <w:jc w:val="both"/>
        <w:rPr>
          <w:rFonts w:ascii="Aptos" w:eastAsia="Times New Roman" w:hAnsi="Aptos"/>
          <w:color w:val="002060"/>
        </w:rPr>
      </w:pPr>
      <w:r w:rsidRPr="007D1B3B">
        <w:rPr>
          <w:rFonts w:ascii="Aptos" w:eastAsia="Times New Roman" w:hAnsi="Aptos" w:cs="Calibri"/>
          <w:b/>
          <w:bCs/>
          <w:color w:val="002060"/>
        </w:rPr>
        <w:t>Data localization</w:t>
      </w:r>
      <w:r w:rsidRPr="007D1B3B">
        <w:rPr>
          <w:rFonts w:ascii="Aptos" w:eastAsia="Times New Roman" w:hAnsi="Aptos" w:cs="Calibri"/>
          <w:color w:val="002060"/>
        </w:rPr>
        <w:t>: Data localization requirement remains. However, it is clearer on which type of data must be retained (account names, service usage time, service fee payment information, access IP addresses, and other related data) and for how long after the user has finished using the service. It is expected that this requirement will be detailed further by a Decree issued by the Government.</w:t>
      </w:r>
      <w:r w:rsidRPr="007D1B3B">
        <w:rPr>
          <w:rFonts w:ascii="Aptos" w:eastAsia="Times New Roman" w:hAnsi="Aptos" w:cs="Calibri"/>
          <w:color w:val="002060"/>
        </w:rPr>
        <w:br/>
      </w:r>
    </w:p>
    <w:p w14:paraId="32D87406" w14:textId="1B20B6D5" w:rsidR="007D1B3B" w:rsidRPr="007D1B3B" w:rsidRDefault="007D1B3B" w:rsidP="007D1B3B">
      <w:pPr>
        <w:spacing w:line="288" w:lineRule="auto"/>
        <w:jc w:val="both"/>
        <w:rPr>
          <w:rFonts w:ascii="Aptos" w:hAnsi="Aptos"/>
          <w:color w:val="002060"/>
        </w:rPr>
      </w:pPr>
      <w:r w:rsidRPr="007D1B3B">
        <w:rPr>
          <w:rFonts w:ascii="Aptos" w:hAnsi="Aptos"/>
          <w:color w:val="002060"/>
        </w:rPr>
        <w:t>***</w:t>
      </w:r>
    </w:p>
    <w:p w14:paraId="4829F5B1" w14:textId="786BB208" w:rsidR="008E5CEE" w:rsidRPr="007D1B3B" w:rsidRDefault="007D1B3B" w:rsidP="007D1B3B">
      <w:pPr>
        <w:shd w:val="clear" w:color="auto" w:fill="FFFFFF"/>
        <w:spacing w:line="288" w:lineRule="auto"/>
        <w:jc w:val="both"/>
        <w:rPr>
          <w:rFonts w:ascii="Aptos" w:eastAsia="Times New Roman" w:hAnsi="Aptos" w:cs="Times New Roman"/>
          <w:color w:val="002060"/>
        </w:rPr>
      </w:pPr>
      <w:r w:rsidRPr="007D1B3B">
        <w:rPr>
          <w:rFonts w:ascii="Aptos" w:eastAsia="Times New Roman" w:hAnsi="Aptos" w:cs="Times New Roman"/>
          <w:color w:val="002060"/>
        </w:rPr>
        <w:lastRenderedPageBreak/>
        <w:t>Please do not hesitate to contact Dr. Oliver Massmann under </w:t>
      </w:r>
      <w:hyperlink r:id="rId8" w:tgtFrame="_blank" w:history="1">
        <w:r w:rsidRPr="007D1B3B">
          <w:rPr>
            <w:rFonts w:ascii="Aptos" w:eastAsia="Times New Roman" w:hAnsi="Aptos" w:cs="Times New Roman"/>
            <w:color w:val="002060"/>
            <w:u w:val="single"/>
          </w:rPr>
          <w:t>omassmann@duanemorris.com</w:t>
        </w:r>
      </w:hyperlink>
      <w:r w:rsidRPr="007D1B3B">
        <w:rPr>
          <w:rFonts w:ascii="Aptos" w:eastAsia="Times New Roman" w:hAnsi="Aptos" w:cs="Times New Roman"/>
          <w:color w:val="002060"/>
        </w:rPr>
        <w:t> if you have any questions or want to know more details on the above. Dr. Oliver Massmann is the General Director of Duane Morris Vietnam LLC.</w:t>
      </w:r>
    </w:p>
    <w:p w14:paraId="63223A28" w14:textId="77777777" w:rsidR="0016521C" w:rsidRPr="008E5CEE" w:rsidRDefault="0016521C" w:rsidP="0016521C">
      <w:pPr>
        <w:pStyle w:val="PlainText"/>
        <w:rPr>
          <w:rFonts w:ascii="Aptos" w:hAnsi="Aptos"/>
          <w:b/>
          <w:bCs/>
          <w:color w:val="002060"/>
          <w:sz w:val="24"/>
          <w:szCs w:val="24"/>
        </w:rPr>
      </w:pPr>
      <w:bookmarkStart w:id="63" w:name="_Toc215144372"/>
    </w:p>
    <w:p w14:paraId="0D4CDBEE" w14:textId="77777777" w:rsidR="0016521C" w:rsidRDefault="00935517" w:rsidP="0016521C">
      <w:pPr>
        <w:spacing w:line="288" w:lineRule="auto"/>
        <w:jc w:val="right"/>
        <w:rPr>
          <w:rStyle w:val="Hyperlink"/>
          <w:rFonts w:ascii="Aptos" w:eastAsia="Malgun Gothic" w:hAnsi="Aptos" w:cs="Times New Roman"/>
          <w:color w:val="002060"/>
        </w:rPr>
      </w:pPr>
      <w:hyperlink w:anchor="_top" w:history="1">
        <w:r w:rsidR="0016521C" w:rsidRPr="004C6CBE">
          <w:rPr>
            <w:rStyle w:val="Hyperlink"/>
            <w:rFonts w:ascii="Aptos" w:eastAsia="Malgun Gothic" w:hAnsi="Aptos" w:cs="Times New Roman"/>
            <w:color w:val="002060"/>
          </w:rPr>
          <w:t>Back to Top</w:t>
        </w:r>
      </w:hyperlink>
    </w:p>
    <w:p w14:paraId="49835D1E" w14:textId="77777777" w:rsidR="0016521C" w:rsidRDefault="0016521C" w:rsidP="0016521C">
      <w:pPr>
        <w:rPr>
          <w:rFonts w:ascii="Aptos" w:hAnsi="Aptos"/>
        </w:rPr>
      </w:pPr>
    </w:p>
    <w:p w14:paraId="45F55B86" w14:textId="77777777" w:rsidR="00161717" w:rsidRPr="00B627FB" w:rsidRDefault="00161717" w:rsidP="00B627FB"/>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4" w:name="_Toc215750949"/>
      <w:bookmarkStart w:id="65" w:name="_Toc216355044"/>
      <w:bookmarkStart w:id="66" w:name="_Toc216965792"/>
      <w:bookmarkStart w:id="67" w:name="_Toc217639118"/>
      <w:bookmarkStart w:id="68" w:name="_Toc218772667"/>
      <w:r w:rsidRPr="004C6CBE">
        <w:rPr>
          <w:rFonts w:ascii="Aptos" w:eastAsia="Malgun Gothic" w:hAnsi="Aptos" w:cs="Times New Roman"/>
          <w:color w:val="002060"/>
        </w:rPr>
        <w:t>FINANCE</w:t>
      </w:r>
      <w:bookmarkStart w:id="69" w:name="_Toc28949349"/>
      <w:bookmarkStart w:id="70" w:name="_Toc29553153"/>
      <w:bookmarkStart w:id="71" w:name="_Toc31365275"/>
      <w:bookmarkStart w:id="72" w:name="_Toc31968678"/>
      <w:bookmarkStart w:id="73" w:name="_Toc33177772"/>
      <w:bookmarkStart w:id="74" w:name="_Toc33784195"/>
      <w:bookmarkStart w:id="75" w:name="_Toc34387332"/>
      <w:bookmarkStart w:id="76" w:name="_Toc34992442"/>
      <w:bookmarkStart w:id="77" w:name="_Toc36200889"/>
      <w:bookmarkStart w:id="78" w:name="_Toc36804857"/>
      <w:bookmarkStart w:id="79" w:name="_Toc37412091"/>
      <w:bookmarkStart w:id="80" w:name="_Toc38016885"/>
      <w:bookmarkStart w:id="81" w:name="_Toc38623235"/>
      <w:bookmarkStart w:id="82" w:name="_Toc47007101"/>
      <w:bookmarkStart w:id="83" w:name="_Toc47608047"/>
      <w:bookmarkStart w:id="84" w:name="_Toc48219500"/>
      <w:bookmarkStart w:id="85" w:name="_Toc48816704"/>
      <w:bookmarkStart w:id="86" w:name="_Toc49427949"/>
      <w:bookmarkStart w:id="87" w:name="_Toc50027094"/>
      <w:bookmarkStart w:id="88" w:name="_Toc50638507"/>
      <w:bookmarkStart w:id="89" w:name="_Toc51235697"/>
      <w:bookmarkStart w:id="90" w:name="_Toc51848397"/>
      <w:bookmarkStart w:id="91" w:name="_Toc52453548"/>
      <w:bookmarkStart w:id="92" w:name="_Toc53055800"/>
      <w:bookmarkStart w:id="93" w:name="_Toc53660720"/>
      <w:bookmarkStart w:id="94" w:name="_Toc54259220"/>
      <w:bookmarkStart w:id="95" w:name="_Toc54865633"/>
      <w:bookmarkStart w:id="96" w:name="_Toc55477664"/>
      <w:bookmarkStart w:id="97" w:name="_Toc56073552"/>
      <w:bookmarkStart w:id="98" w:name="_Toc56678760"/>
      <w:bookmarkStart w:id="99" w:name="_Toc57284469"/>
      <w:bookmarkStart w:id="100" w:name="_Toc57895618"/>
      <w:bookmarkStart w:id="101" w:name="_Toc58494285"/>
      <w:bookmarkStart w:id="102" w:name="_Toc59104486"/>
      <w:bookmarkStart w:id="103" w:name="_Toc60922245"/>
      <w:bookmarkStart w:id="104" w:name="_Toc61518213"/>
      <w:bookmarkStart w:id="105" w:name="_Toc62129056"/>
      <w:bookmarkStart w:id="106" w:name="_Toc62734935"/>
      <w:bookmarkStart w:id="107" w:name="_Toc63333210"/>
      <w:bookmarkStart w:id="108" w:name="_Toc65152047"/>
      <w:bookmarkStart w:id="109" w:name="_Toc65759398"/>
      <w:bookmarkStart w:id="110" w:name="_Toc66363537"/>
      <w:bookmarkStart w:id="111" w:name="_Toc66960044"/>
      <w:bookmarkStart w:id="112" w:name="_Toc67652141"/>
      <w:bookmarkStart w:id="113" w:name="_Toc68179917"/>
      <w:bookmarkStart w:id="114" w:name="_Toc68774144"/>
      <w:bookmarkStart w:id="115" w:name="_Toc69386909"/>
      <w:bookmarkStart w:id="116" w:name="_Toc69991765"/>
      <w:bookmarkStart w:id="117" w:name="_Toc70509838"/>
      <w:bookmarkStart w:id="118" w:name="_Toc71207391"/>
      <w:bookmarkStart w:id="119" w:name="_Toc71799301"/>
      <w:bookmarkStart w:id="120" w:name="_Toc72414970"/>
      <w:bookmarkStart w:id="121" w:name="_Toc73015451"/>
      <w:bookmarkStart w:id="122" w:name="_Toc73618175"/>
      <w:bookmarkStart w:id="123" w:name="_Toc74224508"/>
      <w:bookmarkStart w:id="124" w:name="_Toc74836027"/>
      <w:bookmarkStart w:id="125" w:name="_Toc75439620"/>
      <w:bookmarkStart w:id="126" w:name="_Toc76033386"/>
      <w:bookmarkStart w:id="127" w:name="_Toc76568181"/>
      <w:bookmarkStart w:id="128" w:name="_Toc77249819"/>
      <w:bookmarkStart w:id="129" w:name="_Toc77848115"/>
      <w:bookmarkStart w:id="130" w:name="_Toc78458398"/>
      <w:bookmarkStart w:id="131" w:name="_Toc79065734"/>
      <w:bookmarkStart w:id="132" w:name="_Toc79674824"/>
      <w:bookmarkStart w:id="133" w:name="_Toc80967350"/>
      <w:bookmarkStart w:id="134" w:name="_Toc82098800"/>
      <w:bookmarkStart w:id="135" w:name="_Toc82697201"/>
      <w:bookmarkStart w:id="136" w:name="_Toc83296665"/>
      <w:bookmarkStart w:id="137" w:name="_Toc83896624"/>
      <w:bookmarkStart w:id="138" w:name="_Toc84511067"/>
      <w:bookmarkStart w:id="139" w:name="_Toc85126352"/>
      <w:bookmarkStart w:id="140" w:name="_Toc85726059"/>
      <w:bookmarkStart w:id="141" w:name="_Toc86326946"/>
      <w:bookmarkStart w:id="142" w:name="_Toc86928719"/>
      <w:bookmarkStart w:id="143" w:name="_Toc87533861"/>
      <w:bookmarkStart w:id="144" w:name="_Toc88139972"/>
      <w:bookmarkStart w:id="145" w:name="_Toc88827420"/>
      <w:bookmarkStart w:id="146" w:name="_Toc89348593"/>
      <w:bookmarkStart w:id="147" w:name="_Toc89954355"/>
      <w:bookmarkStart w:id="148" w:name="_Toc90547126"/>
      <w:bookmarkStart w:id="149" w:name="_Toc91162874"/>
      <w:bookmarkStart w:id="150" w:name="_Toc92977888"/>
      <w:bookmarkStart w:id="151" w:name="_Toc93582831"/>
      <w:bookmarkStart w:id="152" w:name="_Toc94185873"/>
      <w:bookmarkStart w:id="153" w:name="_Toc124758938"/>
      <w:bookmarkStart w:id="154" w:name="_Toc126243195"/>
      <w:bookmarkStart w:id="155" w:name="_Toc126844370"/>
      <w:bookmarkStart w:id="156" w:name="_Toc127449232"/>
      <w:bookmarkStart w:id="157" w:name="_Toc128057341"/>
      <w:bookmarkStart w:id="158" w:name="_Toc128657894"/>
      <w:bookmarkStart w:id="159" w:name="_Toc129265040"/>
      <w:bookmarkStart w:id="160" w:name="_Toc129869282"/>
      <w:bookmarkStart w:id="161" w:name="_Toc130472586"/>
      <w:bookmarkStart w:id="162" w:name="_Toc131080425"/>
      <w:bookmarkStart w:id="163" w:name="_Toc131684258"/>
      <w:bookmarkStart w:id="164" w:name="_Toc132288734"/>
      <w:bookmarkStart w:id="165" w:name="_Toc132880391"/>
      <w:bookmarkStart w:id="166" w:name="_Toc133498209"/>
      <w:bookmarkStart w:id="167" w:name="_Toc134108005"/>
      <w:bookmarkStart w:id="168" w:name="_Toc134709543"/>
      <w:bookmarkStart w:id="169" w:name="_Toc134709694"/>
      <w:bookmarkStart w:id="170" w:name="_Toc135315967"/>
      <w:bookmarkStart w:id="171" w:name="_Toc135915557"/>
      <w:bookmarkStart w:id="172" w:name="_Toc136526485"/>
      <w:bookmarkStart w:id="173" w:name="_Toc137126045"/>
      <w:bookmarkStart w:id="174" w:name="_Toc137733670"/>
      <w:bookmarkStart w:id="175" w:name="_Toc138336636"/>
      <w:bookmarkStart w:id="176" w:name="_Toc138940620"/>
      <w:bookmarkStart w:id="177" w:name="_Toc139544017"/>
      <w:bookmarkStart w:id="178" w:name="_Toc140151828"/>
      <w:bookmarkStart w:id="179" w:name="_Toc140757903"/>
      <w:bookmarkStart w:id="180" w:name="_Toc141359482"/>
      <w:bookmarkStart w:id="181" w:name="_Toc141965594"/>
      <w:bookmarkStart w:id="182" w:name="_Toc142569943"/>
      <w:bookmarkStart w:id="183" w:name="_Toc143174996"/>
      <w:bookmarkStart w:id="184" w:name="_Toc143779698"/>
      <w:bookmarkStart w:id="185" w:name="_Toc144384324"/>
      <w:bookmarkStart w:id="186" w:name="_Toc144991137"/>
      <w:bookmarkStart w:id="187" w:name="_Toc145601267"/>
      <w:bookmarkStart w:id="188" w:name="_Toc146205286"/>
      <w:bookmarkStart w:id="189" w:name="_Toc146808595"/>
      <w:bookmarkStart w:id="190" w:name="_Toc147412051"/>
      <w:bookmarkStart w:id="191" w:name="_Toc148007936"/>
      <w:bookmarkStart w:id="192" w:name="_Toc148621865"/>
      <w:bookmarkStart w:id="193" w:name="_Toc149228676"/>
      <w:bookmarkStart w:id="194" w:name="_Toc149826950"/>
      <w:bookmarkStart w:id="195" w:name="_Toc150433295"/>
      <w:bookmarkStart w:id="196" w:name="_Toc151040593"/>
      <w:bookmarkStart w:id="197" w:name="_Toc151645171"/>
      <w:bookmarkStart w:id="198" w:name="_Toc152248760"/>
      <w:bookmarkStart w:id="199" w:name="_Toc153458078"/>
      <w:bookmarkStart w:id="200" w:name="_Toc154061699"/>
      <w:bookmarkStart w:id="201" w:name="_Toc185497332"/>
      <w:bookmarkEnd w:id="63"/>
      <w:bookmarkEnd w:id="64"/>
      <w:bookmarkEnd w:id="65"/>
      <w:bookmarkEnd w:id="66"/>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7"/>
      <w:bookmarkEnd w:id="68"/>
    </w:p>
    <w:p w14:paraId="1D973F11" w14:textId="77777777" w:rsidR="00A57988" w:rsidRDefault="00A57988" w:rsidP="00A57988">
      <w:pPr>
        <w:pStyle w:val="Heading1"/>
        <w:shd w:val="clear" w:color="auto" w:fill="FFFFFF"/>
        <w:spacing w:before="0" w:line="288" w:lineRule="atLeast"/>
        <w:rPr>
          <w:rFonts w:ascii="Aptos" w:eastAsia="Malgun Gothic" w:hAnsi="Aptos" w:cs="Times New Roman"/>
          <w:color w:val="002060"/>
        </w:rPr>
      </w:pPr>
    </w:p>
    <w:p w14:paraId="3CA67C10" w14:textId="74C9FE4F" w:rsidR="00B65CC6" w:rsidRPr="008C461F" w:rsidRDefault="00B65CC6" w:rsidP="00B65CC6">
      <w:pPr>
        <w:pStyle w:val="Heading1"/>
        <w:rPr>
          <w:rFonts w:ascii="Aptos" w:eastAsia="Times New Roman" w:hAnsi="Aptos" w:cs="Times New Roman"/>
          <w:color w:val="002060"/>
          <w:kern w:val="36"/>
        </w:rPr>
      </w:pPr>
      <w:bookmarkStart w:id="202" w:name="_Toc218772668"/>
      <w:r w:rsidRPr="008C461F">
        <w:rPr>
          <w:rFonts w:ascii="Aptos" w:eastAsia="Times New Roman" w:hAnsi="Aptos" w:cs="Times New Roman"/>
          <w:color w:val="002060"/>
          <w:kern w:val="36"/>
        </w:rPr>
        <w:t>Banks to tighten collateral and credit rating criteria</w:t>
      </w:r>
      <w:bookmarkEnd w:id="202"/>
    </w:p>
    <w:p w14:paraId="59F25863" w14:textId="3F0B3F8E" w:rsidR="00B65CC6" w:rsidRDefault="008C461F" w:rsidP="00B65CC6">
      <w:pPr>
        <w:spacing w:after="0" w:line="240" w:lineRule="auto"/>
        <w:rPr>
          <w:rFonts w:ascii="Aptos" w:eastAsia="Times New Roman" w:hAnsi="Aptos" w:cs="Times New Roman"/>
          <w:i/>
          <w:iCs/>
          <w:color w:val="002060"/>
          <w:sz w:val="18"/>
          <w:szCs w:val="18"/>
        </w:rPr>
      </w:pPr>
      <w:r w:rsidRPr="008C461F">
        <w:rPr>
          <w:rFonts w:ascii="Aptos" w:eastAsia="Times New Roman" w:hAnsi="Aptos" w:cs="Times New Roman"/>
          <w:i/>
          <w:iCs/>
          <w:color w:val="002060"/>
          <w:sz w:val="18"/>
          <w:szCs w:val="18"/>
        </w:rPr>
        <w:t>VET</w:t>
      </w:r>
    </w:p>
    <w:p w14:paraId="794AF901" w14:textId="77777777" w:rsidR="008C461F" w:rsidRPr="008C461F" w:rsidRDefault="008C461F" w:rsidP="00B65CC6">
      <w:pPr>
        <w:spacing w:after="0" w:line="240" w:lineRule="auto"/>
        <w:rPr>
          <w:rFonts w:ascii="Aptos" w:eastAsia="Times New Roman" w:hAnsi="Aptos" w:cs="Times New Roman"/>
          <w:i/>
          <w:iCs/>
          <w:color w:val="002060"/>
          <w:sz w:val="18"/>
          <w:szCs w:val="18"/>
        </w:rPr>
      </w:pPr>
    </w:p>
    <w:p w14:paraId="54D7C5BE" w14:textId="77777777" w:rsidR="008C461F" w:rsidRPr="00B65CC6" w:rsidRDefault="008C461F" w:rsidP="00B65CC6">
      <w:pPr>
        <w:spacing w:after="0" w:line="240" w:lineRule="auto"/>
        <w:rPr>
          <w:rFonts w:ascii="Aptos" w:eastAsia="Times New Roman" w:hAnsi="Aptos" w:cs="Times New Roman"/>
          <w:i/>
          <w:iCs/>
          <w:color w:val="002060"/>
        </w:rPr>
      </w:pPr>
    </w:p>
    <w:p w14:paraId="4135C15B" w14:textId="77777777" w:rsidR="00B65CC6" w:rsidRPr="00B65CC6" w:rsidRDefault="00B65CC6" w:rsidP="00B65CC6">
      <w:pPr>
        <w:spacing w:after="100" w:afterAutospacing="1" w:line="240" w:lineRule="auto"/>
        <w:outlineLvl w:val="1"/>
        <w:rPr>
          <w:rFonts w:ascii="Aptos" w:eastAsia="Times New Roman" w:hAnsi="Aptos" w:cs="Arial"/>
          <w:i/>
          <w:iCs/>
          <w:color w:val="002060"/>
        </w:rPr>
      </w:pPr>
      <w:bookmarkStart w:id="203" w:name="_Toc218772669"/>
      <w:r w:rsidRPr="00B65CC6">
        <w:rPr>
          <w:rFonts w:ascii="Aptos" w:eastAsia="Times New Roman" w:hAnsi="Aptos" w:cs="Arial"/>
          <w:i/>
          <w:iCs/>
          <w:color w:val="002060"/>
        </w:rPr>
        <w:t>Risk management criteria, particularly the requirements for "collateral" and "minimum credit rating," are expected to be slightly tightened.</w:t>
      </w:r>
      <w:bookmarkEnd w:id="203"/>
    </w:p>
    <w:p w14:paraId="42557055"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The State Bank of Vietnam's Department of Forecasting, Statistics, and Monetary-Financial Stability has recently released key findings from a comprehensive survey on the credit trends across the banking system.</w:t>
      </w:r>
    </w:p>
    <w:p w14:paraId="62C347C4"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Contrary to the slight decline observed in the first half of the year, credit institutions have noted a slight increase in credit risk levels during the latter half of 2025. However, this increase is significantly lower compared to the period from 2023 to 2024.</w:t>
      </w:r>
    </w:p>
    <w:p w14:paraId="78A510B4"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Notably, the highest credit risk continues to be concentrated in loans for real estate investment and business.</w:t>
      </w:r>
    </w:p>
    <w:p w14:paraId="6F7EB5CF"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The slight upward trend in credit risk is expected to persist into 2026, with real estate investment and business remaining the sector with the highest perceived risk, followed by securities and import-export activities.</w:t>
      </w:r>
    </w:p>
    <w:p w14:paraId="6B11C01B"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According to credit institutions, the overall credit demand of customers in the latter half of 2025 and throughout the year has improved compared to the first half of 2025 and 2024; however, it still falls short of expectations recorded in previous surveys. Credit institutions have observed a broad-based increase in credit demand, encompassing most customer groups, currencies, terms, and sectors.</w:t>
      </w:r>
    </w:p>
    <w:p w14:paraId="2303BA08"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In the first half and throughout 2026, corporate customers' credit demand is expected to rise more significantly than that of individual customers. Short-term loans are projected to grow more robustly than medium and long-term loans, and the demand for loans in Vietnamese dong is anticipated to increase more than foreign currency loans.</w:t>
      </w:r>
    </w:p>
    <w:p w14:paraId="61047FE0"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Regarding the readiness to meet the economy's capital needs, in the latter half of 2025, 87% of credit institutions reported meeting at least 75% of customer loan demands. Among them, 100% of key commercial banks stated they met at least 75% of customer loan demands.</w:t>
      </w:r>
    </w:p>
    <w:p w14:paraId="04AA8C58"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 xml:space="preserve">In the six main sectors surveyed, </w:t>
      </w:r>
      <w:proofErr w:type="gramStart"/>
      <w:r w:rsidRPr="00B65CC6">
        <w:rPr>
          <w:rFonts w:ascii="Aptos" w:eastAsia="Times New Roman" w:hAnsi="Aptos" w:cs="Arial"/>
          <w:color w:val="002060"/>
        </w:rPr>
        <w:t>similar to</w:t>
      </w:r>
      <w:proofErr w:type="gramEnd"/>
      <w:r w:rsidRPr="00B65CC6">
        <w:rPr>
          <w:rFonts w:ascii="Aptos" w:eastAsia="Times New Roman" w:hAnsi="Aptos" w:cs="Arial"/>
          <w:color w:val="002060"/>
        </w:rPr>
        <w:t xml:space="preserve"> 2025, the industrial and construction development sector is expected to lead in credit demand growth in 2026. This is followed by trade and services, personal and household consumption, green sectors, agriculture, forestry, fisheries, and high-tech investment.</w:t>
      </w:r>
    </w:p>
    <w:p w14:paraId="1DD6C8E3"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b/>
          <w:bCs/>
          <w:color w:val="002060"/>
        </w:rPr>
        <w:t>Tightening collateral requirements expected </w:t>
      </w:r>
    </w:p>
    <w:p w14:paraId="53E579CA"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lastRenderedPageBreak/>
        <w:t>To encourage businesses and individuals to access credit for economic development, in the latter half of 2025, most credit institutions have tended to "maintain" or "slightly loosen" credit standards. The "slight loosening" trend mainly applies to corporate customers, including small and medium-sized enterprises. For individual customers, most credit institutions have maintained their credit standards.</w:t>
      </w:r>
    </w:p>
    <w:p w14:paraId="257E259B"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Key commercial banks have shown a trend of "slightly loosening" credit standards in the latter half of 2025, with a higher degree of loosening for most customer groups and sectors, except for "securities investment" and "financial, banking, and insurance business," which continue to be "slightly tightened."</w:t>
      </w:r>
    </w:p>
    <w:p w14:paraId="7375825F"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The "slight loosening" trend in credit standards is expected to continue in the first half and throughout 2026, applying to corporate customers and most priority sectors, including "green credit," "high-tech investment loans," "supporting industry investment," and "agriculture, forestry, and fisheries development," among others.</w:t>
      </w:r>
    </w:p>
    <w:p w14:paraId="7E177942"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By credit institution group, joint-stock commercial banks and one-member limited liability banks are expected to "slightly loosen" credit standards in the first half of 2026. Meanwhile, other groups, including state-owned commercial banks, foreign banks, and financial companies, are expected to maintain their credit standards. Key commercial banks are expected to continue "slightly loosening" credit standards.</w:t>
      </w:r>
    </w:p>
    <w:p w14:paraId="6593D7D4"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"Overall lending terms and conditions" for corporate customers are expected to continue to be slightly loosened in the first half of 2026 compared to the latter half of 2025. However, risk management criteria, particularly the requirements for "collateral" and "minimum credit rating," are expected to be slightly tightened.</w:t>
      </w:r>
    </w:p>
    <w:p w14:paraId="73CBCDC8" w14:textId="77777777" w:rsidR="00B65CC6" w:rsidRPr="00B65CC6" w:rsidRDefault="00B65CC6" w:rsidP="00B65CC6">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For individual customers, credit institutions have noted that in the latter half of 2025, lending conditions and terms for consumer loans and home purchase loans have shifted from "slightly loosened" to "slightly tightened." Additionally, credit card lending continues to be "slightly tightened."</w:t>
      </w:r>
    </w:p>
    <w:p w14:paraId="24FC1E4F" w14:textId="220A8900" w:rsidR="00827DBD" w:rsidRDefault="00B65CC6" w:rsidP="008C461F">
      <w:pPr>
        <w:shd w:val="clear" w:color="auto" w:fill="FFFFFF"/>
        <w:spacing w:before="100" w:beforeAutospacing="1" w:after="100" w:afterAutospacing="1" w:line="240" w:lineRule="auto"/>
        <w:jc w:val="both"/>
        <w:rPr>
          <w:rFonts w:ascii="Aptos" w:eastAsia="Times New Roman" w:hAnsi="Aptos" w:cs="Arial"/>
          <w:color w:val="002060"/>
        </w:rPr>
      </w:pPr>
      <w:r w:rsidRPr="00B65CC6">
        <w:rPr>
          <w:rFonts w:ascii="Aptos" w:eastAsia="Times New Roman" w:hAnsi="Aptos" w:cs="Arial"/>
          <w:color w:val="002060"/>
        </w:rPr>
        <w:t>In the first half of 2026, credit institutions are expected to loosen overall lending conditions and terms for individual customers again. The loosening trend mainly focuses on price-related factors and credit limits, while safety criteria such as "collateral requirements" and "debt-to-income ratio" continue to be strictly controlled.</w:t>
      </w:r>
    </w:p>
    <w:p w14:paraId="502BEA49" w14:textId="77777777" w:rsidR="003813C9" w:rsidRPr="008C461F" w:rsidRDefault="003813C9" w:rsidP="008C461F">
      <w:pPr>
        <w:shd w:val="clear" w:color="auto" w:fill="FFFFFF"/>
        <w:spacing w:before="100" w:beforeAutospacing="1" w:after="100" w:afterAutospacing="1" w:line="240" w:lineRule="auto"/>
        <w:jc w:val="both"/>
        <w:rPr>
          <w:rFonts w:ascii="Aptos" w:eastAsia="Times New Roman" w:hAnsi="Aptos" w:cs="Arial"/>
          <w:color w:val="002060"/>
        </w:rPr>
      </w:pPr>
    </w:p>
    <w:p w14:paraId="1A24873C" w14:textId="77777777" w:rsidR="003E0394" w:rsidRDefault="00935517"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34BC7931" w14:textId="77777777" w:rsidR="0077421C" w:rsidRPr="0077421C" w:rsidRDefault="0077421C" w:rsidP="0077421C">
      <w:pPr>
        <w:spacing w:before="100" w:beforeAutospacing="1" w:after="100" w:afterAutospacing="1" w:line="240" w:lineRule="auto"/>
        <w:outlineLvl w:val="0"/>
        <w:rPr>
          <w:rFonts w:ascii="Aptos" w:eastAsia="Times New Roman" w:hAnsi="Aptos" w:cs="Times New Roman"/>
          <w:b/>
          <w:bCs/>
          <w:color w:val="002060"/>
          <w:kern w:val="36"/>
          <w:sz w:val="28"/>
          <w:szCs w:val="28"/>
        </w:rPr>
      </w:pPr>
      <w:bookmarkStart w:id="204" w:name="_Toc218772670"/>
      <w:r w:rsidRPr="0077421C">
        <w:rPr>
          <w:rFonts w:ascii="Aptos" w:eastAsia="Times New Roman" w:hAnsi="Aptos" w:cs="Times New Roman"/>
          <w:b/>
          <w:bCs/>
          <w:color w:val="002060"/>
          <w:kern w:val="36"/>
          <w:sz w:val="28"/>
          <w:szCs w:val="28"/>
        </w:rPr>
        <w:t>PM assigns key tasks for banking sector to achieve double-digit growth in 2026</w:t>
      </w:r>
      <w:bookmarkEnd w:id="204"/>
    </w:p>
    <w:p w14:paraId="3D822A16" w14:textId="0A1584C5" w:rsidR="0077421C" w:rsidRPr="0077421C" w:rsidRDefault="0077421C" w:rsidP="0077421C">
      <w:pPr>
        <w:spacing w:after="0" w:line="240" w:lineRule="auto"/>
        <w:rPr>
          <w:rFonts w:ascii="Aptos" w:eastAsia="Times New Roman" w:hAnsi="Aptos" w:cs="Times New Roman"/>
          <w:i/>
          <w:iCs/>
          <w:color w:val="002060"/>
          <w:sz w:val="18"/>
          <w:szCs w:val="18"/>
        </w:rPr>
      </w:pPr>
      <w:proofErr w:type="spellStart"/>
      <w:r w:rsidRPr="0077421C">
        <w:rPr>
          <w:rFonts w:ascii="Aptos" w:eastAsia="Times New Roman" w:hAnsi="Aptos" w:cs="Times New Roman"/>
          <w:i/>
          <w:iCs/>
          <w:color w:val="002060"/>
          <w:sz w:val="18"/>
          <w:szCs w:val="18"/>
        </w:rPr>
        <w:t>VNA</w:t>
      </w:r>
      <w:proofErr w:type="spellEnd"/>
    </w:p>
    <w:p w14:paraId="06425B89" w14:textId="77777777" w:rsidR="0077421C" w:rsidRPr="0077421C" w:rsidRDefault="0077421C" w:rsidP="0077421C">
      <w:pPr>
        <w:spacing w:after="0" w:line="240" w:lineRule="auto"/>
        <w:rPr>
          <w:rFonts w:ascii="Aptos" w:eastAsia="Times New Roman" w:hAnsi="Aptos" w:cs="Times New Roman"/>
          <w:color w:val="002060"/>
        </w:rPr>
      </w:pPr>
    </w:p>
    <w:p w14:paraId="45956D4D" w14:textId="77777777" w:rsidR="0077421C" w:rsidRPr="0077421C" w:rsidRDefault="0077421C" w:rsidP="0077421C">
      <w:pPr>
        <w:spacing w:after="100" w:afterAutospacing="1" w:line="240" w:lineRule="auto"/>
        <w:outlineLvl w:val="1"/>
        <w:rPr>
          <w:rFonts w:ascii="Aptos" w:eastAsia="Times New Roman" w:hAnsi="Aptos" w:cs="Arial"/>
          <w:b/>
          <w:bCs/>
          <w:color w:val="002060"/>
        </w:rPr>
      </w:pPr>
      <w:bookmarkStart w:id="205" w:name="_Toc218772671"/>
      <w:r w:rsidRPr="0077421C">
        <w:rPr>
          <w:rFonts w:ascii="Aptos" w:eastAsia="Times New Roman" w:hAnsi="Aptos" w:cs="Arial"/>
          <w:b/>
          <w:bCs/>
          <w:color w:val="002060"/>
        </w:rPr>
        <w:t xml:space="preserve">Total outstanding credits reached nearly </w:t>
      </w:r>
      <w:proofErr w:type="spellStart"/>
      <w:r w:rsidRPr="0077421C">
        <w:rPr>
          <w:rFonts w:ascii="Aptos" w:eastAsia="Times New Roman" w:hAnsi="Aptos" w:cs="Arial"/>
          <w:b/>
          <w:bCs/>
          <w:color w:val="002060"/>
        </w:rPr>
        <w:t>VND18.41</w:t>
      </w:r>
      <w:proofErr w:type="spellEnd"/>
      <w:r w:rsidRPr="0077421C">
        <w:rPr>
          <w:rFonts w:ascii="Aptos" w:eastAsia="Times New Roman" w:hAnsi="Aptos" w:cs="Arial"/>
          <w:b/>
          <w:bCs/>
          <w:color w:val="002060"/>
        </w:rPr>
        <w:t xml:space="preserve"> quadrillion ($700 billion) as of December 24, 2025.</w:t>
      </w:r>
      <w:bookmarkEnd w:id="205"/>
    </w:p>
    <w:p w14:paraId="58CA8621" w14:textId="77777777" w:rsidR="0077421C" w:rsidRPr="0077421C" w:rsidRDefault="0077421C" w:rsidP="0077421C">
      <w:pPr>
        <w:shd w:val="clear" w:color="auto" w:fill="FFFFFF"/>
        <w:spacing w:before="100" w:beforeAutospacing="1" w:after="100" w:afterAutospacing="1" w:line="240" w:lineRule="auto"/>
        <w:jc w:val="both"/>
        <w:rPr>
          <w:rFonts w:ascii="Aptos" w:eastAsia="Times New Roman" w:hAnsi="Aptos" w:cs="Arial"/>
          <w:color w:val="002060"/>
        </w:rPr>
      </w:pPr>
      <w:r w:rsidRPr="0077421C">
        <w:rPr>
          <w:rFonts w:ascii="Aptos" w:eastAsia="Times New Roman" w:hAnsi="Aptos" w:cs="Arial"/>
          <w:color w:val="002060"/>
        </w:rPr>
        <w:t>Prime Minister Pham Minh Chinh instructed the banking sector to continue contributing to keep the macro-economy stable, curb inflation, and promote double-digit growth in 2026 while addressing the State Bank of Vietnam (</w:t>
      </w:r>
      <w:proofErr w:type="spellStart"/>
      <w:r w:rsidRPr="0077421C">
        <w:rPr>
          <w:rFonts w:ascii="Aptos" w:eastAsia="Times New Roman" w:hAnsi="Aptos" w:cs="Arial"/>
          <w:color w:val="002060"/>
        </w:rPr>
        <w:t>SBV</w:t>
      </w:r>
      <w:proofErr w:type="spellEnd"/>
      <w:r w:rsidRPr="0077421C">
        <w:rPr>
          <w:rFonts w:ascii="Aptos" w:eastAsia="Times New Roman" w:hAnsi="Aptos" w:cs="Arial"/>
          <w:color w:val="002060"/>
        </w:rPr>
        <w:t>)’s conference held in Hanoi on December 31 to review its performance in 2026 and launch this year’s tasks.</w:t>
      </w:r>
    </w:p>
    <w:p w14:paraId="6C88898F" w14:textId="77777777" w:rsidR="0077421C" w:rsidRPr="0077421C" w:rsidRDefault="0077421C" w:rsidP="0077421C">
      <w:pPr>
        <w:shd w:val="clear" w:color="auto" w:fill="FFFFFF"/>
        <w:spacing w:before="100" w:beforeAutospacing="1" w:after="100" w:afterAutospacing="1" w:line="240" w:lineRule="auto"/>
        <w:jc w:val="both"/>
        <w:rPr>
          <w:rFonts w:ascii="Aptos" w:eastAsia="Times New Roman" w:hAnsi="Aptos" w:cs="Arial"/>
          <w:color w:val="002060"/>
        </w:rPr>
      </w:pPr>
      <w:r w:rsidRPr="0077421C">
        <w:rPr>
          <w:rFonts w:ascii="Aptos" w:eastAsia="Times New Roman" w:hAnsi="Aptos" w:cs="Arial"/>
          <w:color w:val="002060"/>
        </w:rPr>
        <w:t>He directed the central bank to manage credit growth limits in an appropriate manner; control risks in line with international practices and market-based instruments; implement solutions to ensure safe and effective credit growth; ensure the safety of the monetary, credit and banking system; and promote the development of science and technology, innovation and national digital transformation both in banking operations and credit activities.</w:t>
      </w:r>
    </w:p>
    <w:p w14:paraId="4D123087" w14:textId="77777777" w:rsidR="0077421C" w:rsidRPr="0077421C" w:rsidRDefault="0077421C" w:rsidP="0077421C">
      <w:pPr>
        <w:shd w:val="clear" w:color="auto" w:fill="FFFFFF"/>
        <w:spacing w:before="100" w:beforeAutospacing="1" w:after="100" w:afterAutospacing="1" w:line="240" w:lineRule="auto"/>
        <w:jc w:val="both"/>
        <w:rPr>
          <w:rFonts w:ascii="Aptos" w:eastAsia="Times New Roman" w:hAnsi="Aptos" w:cs="Arial"/>
          <w:color w:val="002060"/>
        </w:rPr>
      </w:pPr>
      <w:r w:rsidRPr="0077421C">
        <w:rPr>
          <w:rFonts w:ascii="Aptos" w:eastAsia="Times New Roman" w:hAnsi="Aptos" w:cs="Arial"/>
          <w:color w:val="002060"/>
        </w:rPr>
        <w:t>He praised achievements of the banking sector in 2025, particularly in effectively advising the Government on handling weak banks in a systematic and efficient manner; enhancing monetary security and transaction safety; and making significant progress in restructuring credit institutions and handling bad debts.</w:t>
      </w:r>
    </w:p>
    <w:p w14:paraId="4DDC955E" w14:textId="77777777" w:rsidR="0077421C" w:rsidRPr="0077421C" w:rsidRDefault="0077421C" w:rsidP="0077421C">
      <w:pPr>
        <w:shd w:val="clear" w:color="auto" w:fill="FFFFFF"/>
        <w:spacing w:before="100" w:beforeAutospacing="1" w:after="100" w:afterAutospacing="1" w:line="240" w:lineRule="auto"/>
        <w:jc w:val="both"/>
        <w:rPr>
          <w:rFonts w:ascii="Aptos" w:eastAsia="Times New Roman" w:hAnsi="Aptos" w:cs="Arial"/>
          <w:color w:val="002060"/>
        </w:rPr>
      </w:pPr>
      <w:r w:rsidRPr="0077421C">
        <w:rPr>
          <w:rFonts w:ascii="Aptos" w:eastAsia="Times New Roman" w:hAnsi="Aptos" w:cs="Arial"/>
          <w:color w:val="002060"/>
        </w:rPr>
        <w:lastRenderedPageBreak/>
        <w:t xml:space="preserve">By the end of September 2025, total assets of the banking system had exceeded </w:t>
      </w:r>
      <w:proofErr w:type="spellStart"/>
      <w:r w:rsidRPr="0077421C">
        <w:rPr>
          <w:rFonts w:ascii="Aptos" w:eastAsia="Times New Roman" w:hAnsi="Aptos" w:cs="Arial"/>
          <w:color w:val="002060"/>
        </w:rPr>
        <w:t>VND25.8</w:t>
      </w:r>
      <w:proofErr w:type="spellEnd"/>
      <w:r w:rsidRPr="0077421C">
        <w:rPr>
          <w:rFonts w:ascii="Aptos" w:eastAsia="Times New Roman" w:hAnsi="Aptos" w:cs="Arial"/>
          <w:color w:val="002060"/>
        </w:rPr>
        <w:t xml:space="preserve"> quadrillion ($980 billion), up 84.4% compared to the end of 2020.</w:t>
      </w:r>
    </w:p>
    <w:p w14:paraId="17619CCB" w14:textId="32446AAC" w:rsidR="0077421C" w:rsidRPr="0077421C" w:rsidRDefault="0077421C" w:rsidP="0077421C">
      <w:pPr>
        <w:shd w:val="clear" w:color="auto" w:fill="FFFFFF"/>
        <w:spacing w:before="100" w:beforeAutospacing="1" w:after="100" w:afterAutospacing="1" w:line="240" w:lineRule="auto"/>
        <w:jc w:val="both"/>
        <w:rPr>
          <w:rFonts w:ascii="Aptos" w:eastAsia="Times New Roman" w:hAnsi="Aptos" w:cs="Arial"/>
          <w:color w:val="002060"/>
        </w:rPr>
      </w:pPr>
      <w:r w:rsidRPr="0077421C">
        <w:rPr>
          <w:rFonts w:ascii="Aptos" w:eastAsia="Times New Roman" w:hAnsi="Aptos" w:cs="Arial"/>
          <w:color w:val="002060"/>
        </w:rPr>
        <w:t xml:space="preserve">Total outstanding credits reached nearly </w:t>
      </w:r>
      <w:proofErr w:type="spellStart"/>
      <w:r w:rsidRPr="0077421C">
        <w:rPr>
          <w:rFonts w:ascii="Aptos" w:eastAsia="Times New Roman" w:hAnsi="Aptos" w:cs="Arial"/>
          <w:color w:val="002060"/>
        </w:rPr>
        <w:t>VND18.41</w:t>
      </w:r>
      <w:proofErr w:type="spellEnd"/>
      <w:r w:rsidRPr="0077421C">
        <w:rPr>
          <w:rFonts w:ascii="Aptos" w:eastAsia="Times New Roman" w:hAnsi="Aptos" w:cs="Arial"/>
          <w:color w:val="002060"/>
        </w:rPr>
        <w:t xml:space="preserve"> quadrillion ($700 billion) as of December 24, 2025, surging 17.87% compared to the end of 2024.</w:t>
      </w:r>
    </w:p>
    <w:p w14:paraId="2E0E1B8D" w14:textId="77777777" w:rsidR="00A57988" w:rsidRPr="004C6CBE" w:rsidRDefault="00935517" w:rsidP="00A57988">
      <w:pPr>
        <w:spacing w:line="288" w:lineRule="auto"/>
        <w:jc w:val="right"/>
        <w:rPr>
          <w:rStyle w:val="Hyperlink"/>
          <w:rFonts w:ascii="Aptos" w:eastAsia="Malgun Gothic" w:hAnsi="Aptos" w:cs="Times New Roman"/>
          <w:color w:val="002060"/>
        </w:rPr>
      </w:pPr>
      <w:hyperlink w:anchor="_top" w:history="1">
        <w:r w:rsidR="00A57988" w:rsidRPr="004C6CBE">
          <w:rPr>
            <w:rStyle w:val="Hyperlink"/>
            <w:rFonts w:ascii="Aptos" w:eastAsia="Malgun Gothic" w:hAnsi="Aptos" w:cs="Times New Roman"/>
            <w:color w:val="002060"/>
          </w:rPr>
          <w:t>Back to Top</w:t>
        </w:r>
      </w:hyperlink>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06" w:name="_Toc186722691"/>
      <w:bookmarkStart w:id="207" w:name="_Toc187326017"/>
      <w:bookmarkStart w:id="208" w:name="_Toc187919317"/>
      <w:bookmarkStart w:id="209" w:name="_Toc188519309"/>
      <w:bookmarkStart w:id="210" w:name="_Toc189746399"/>
      <w:bookmarkStart w:id="211" w:name="_Toc190348424"/>
      <w:bookmarkStart w:id="212" w:name="_Toc190954008"/>
      <w:bookmarkStart w:id="213" w:name="_Toc191559693"/>
      <w:bookmarkStart w:id="214" w:name="_Toc192153145"/>
      <w:bookmarkStart w:id="215" w:name="_Toc192767030"/>
      <w:bookmarkStart w:id="216" w:name="_Toc193361537"/>
      <w:bookmarkStart w:id="217" w:name="_Toc193977729"/>
      <w:bookmarkStart w:id="218" w:name="_Toc194671393"/>
      <w:bookmarkStart w:id="219" w:name="_Toc195192224"/>
      <w:bookmarkStart w:id="220" w:name="_Toc195795569"/>
      <w:bookmarkStart w:id="221" w:name="_Toc196395797"/>
      <w:bookmarkStart w:id="222" w:name="_Toc197596758"/>
      <w:bookmarkStart w:id="223" w:name="_Toc198210641"/>
      <w:bookmarkStart w:id="224" w:name="_Toc198816026"/>
      <w:bookmarkStart w:id="225" w:name="_Toc199419424"/>
      <w:bookmarkStart w:id="226" w:name="_Toc200013593"/>
      <w:bookmarkStart w:id="227" w:name="_Toc200628572"/>
      <w:bookmarkStart w:id="228" w:name="_Toc201837355"/>
      <w:bookmarkStart w:id="229" w:name="_Toc202445690"/>
      <w:bookmarkStart w:id="230" w:name="_Toc203047555"/>
      <w:bookmarkStart w:id="231" w:name="_Toc203655860"/>
      <w:bookmarkStart w:id="232" w:name="_Toc204262797"/>
      <w:bookmarkStart w:id="233" w:name="_Toc204862956"/>
      <w:bookmarkStart w:id="234" w:name="_Toc205466583"/>
      <w:bookmarkStart w:id="235" w:name="_Toc206074502"/>
      <w:bookmarkStart w:id="236" w:name="_Toc207184395"/>
      <w:bookmarkStart w:id="237" w:name="_Toc207888598"/>
      <w:bookmarkStart w:id="238" w:name="_Toc208493622"/>
      <w:bookmarkStart w:id="239" w:name="_Toc208493700"/>
      <w:bookmarkStart w:id="240" w:name="_Toc209099445"/>
      <w:bookmarkStart w:id="241" w:name="_Toc209702674"/>
      <w:bookmarkStart w:id="242" w:name="_Toc210305238"/>
      <w:bookmarkStart w:id="243" w:name="_Toc210911914"/>
      <w:bookmarkStart w:id="244" w:name="_Toc210912006"/>
      <w:bookmarkStart w:id="245" w:name="_Toc211518239"/>
      <w:bookmarkStart w:id="246" w:name="_Toc212118919"/>
      <w:bookmarkStart w:id="247" w:name="_Toc212726912"/>
      <w:bookmarkStart w:id="248" w:name="_Toc213334249"/>
      <w:bookmarkStart w:id="249" w:name="_Toc213924599"/>
    </w:p>
    <w:p w14:paraId="5BEE464F" w14:textId="1272DA87" w:rsidR="00E277D4" w:rsidRDefault="00FE778B" w:rsidP="003B61BC">
      <w:pPr>
        <w:pStyle w:val="Heading1"/>
        <w:shd w:val="clear" w:color="auto" w:fill="FFFFFF"/>
        <w:spacing w:before="0" w:line="288" w:lineRule="atLeast"/>
        <w:rPr>
          <w:rFonts w:ascii="Aptos" w:eastAsia="Malgun Gothic" w:hAnsi="Aptos" w:cs="Times New Roman"/>
          <w:color w:val="002060"/>
        </w:rPr>
      </w:pPr>
      <w:bookmarkStart w:id="250" w:name="_Toc214539941"/>
      <w:bookmarkStart w:id="251" w:name="_Toc215144377"/>
      <w:bookmarkStart w:id="252" w:name="_Toc215750954"/>
      <w:bookmarkStart w:id="253" w:name="_Toc216355050"/>
      <w:bookmarkStart w:id="254" w:name="_Toc216965797"/>
      <w:bookmarkStart w:id="255" w:name="_Toc217639123"/>
      <w:bookmarkStart w:id="256" w:name="_Toc218772672"/>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57" w:name="_Toc372277036"/>
      <w:bookmarkStart w:id="258" w:name="_Toc372881662"/>
      <w:bookmarkStart w:id="259" w:name="_Toc373484630"/>
      <w:bookmarkStart w:id="260" w:name="_Toc374089641"/>
      <w:bookmarkStart w:id="261" w:name="_Toc374695753"/>
      <w:bookmarkStart w:id="262" w:name="_Toc375297865"/>
      <w:bookmarkStart w:id="263" w:name="_Toc375903285"/>
      <w:bookmarkStart w:id="264" w:name="_Toc376510600"/>
      <w:bookmarkStart w:id="265" w:name="_Toc377114107"/>
      <w:bookmarkStart w:id="266" w:name="_Toc377720877"/>
      <w:bookmarkStart w:id="267" w:name="_Toc378323090"/>
      <w:bookmarkStart w:id="268" w:name="_Toc379533627"/>
      <w:bookmarkStart w:id="269" w:name="_Toc380136921"/>
      <w:bookmarkStart w:id="270" w:name="_Toc380744470"/>
      <w:bookmarkStart w:id="271" w:name="_Toc381349390"/>
      <w:bookmarkStart w:id="272" w:name="_Toc381952740"/>
      <w:bookmarkStart w:id="273" w:name="_Toc382557146"/>
      <w:bookmarkStart w:id="274" w:name="_Toc383161642"/>
      <w:bookmarkStart w:id="275" w:name="_Toc383767069"/>
      <w:bookmarkStart w:id="276" w:name="_Toc384372106"/>
      <w:bookmarkStart w:id="277" w:name="_Toc384976538"/>
      <w:bookmarkStart w:id="278" w:name="_Toc385581149"/>
      <w:bookmarkStart w:id="279" w:name="_Toc386187311"/>
      <w:bookmarkStart w:id="280" w:name="_Toc387396227"/>
      <w:bookmarkStart w:id="281" w:name="_Toc388000659"/>
      <w:bookmarkStart w:id="282" w:name="_Toc388604987"/>
      <w:bookmarkStart w:id="283" w:name="_Toc389209518"/>
      <w:bookmarkStart w:id="284" w:name="_Toc389815749"/>
      <w:bookmarkStart w:id="285" w:name="_Toc390418758"/>
      <w:bookmarkStart w:id="286" w:name="_Toc391026118"/>
      <w:bookmarkStart w:id="287" w:name="_Toc392233738"/>
      <w:bookmarkStart w:id="288" w:name="_Toc392837336"/>
      <w:bookmarkStart w:id="289" w:name="_Toc394048499"/>
      <w:bookmarkStart w:id="290" w:name="_Toc394651767"/>
      <w:bookmarkStart w:id="291" w:name="_Toc395258652"/>
      <w:bookmarkStart w:id="292" w:name="_Toc395862292"/>
      <w:bookmarkStart w:id="293" w:name="_Toc396467104"/>
      <w:bookmarkStart w:id="294" w:name="_Toc397074774"/>
      <w:bookmarkStart w:id="295" w:name="_Toc397679397"/>
      <w:bookmarkStart w:id="296" w:name="_Toc398281793"/>
      <w:bookmarkStart w:id="297" w:name="_Toc398887280"/>
      <w:bookmarkStart w:id="298" w:name="_Toc399492492"/>
      <w:bookmarkStart w:id="299" w:name="_Toc400096557"/>
      <w:bookmarkStart w:id="300" w:name="_Toc400699355"/>
      <w:bookmarkStart w:id="301" w:name="_Toc401908571"/>
      <w:bookmarkStart w:id="302" w:name="_Toc402514113"/>
      <w:bookmarkStart w:id="303" w:name="_Toc403119468"/>
      <w:bookmarkStart w:id="304" w:name="_Toc403725573"/>
      <w:bookmarkStart w:id="305" w:name="_Toc404332237"/>
      <w:bookmarkStart w:id="306" w:name="_Toc404935397"/>
      <w:bookmarkStart w:id="307" w:name="_Toc405540230"/>
      <w:bookmarkStart w:id="308" w:name="_Toc406144907"/>
      <w:bookmarkStart w:id="309" w:name="_Toc406680256"/>
      <w:bookmarkStart w:id="310" w:name="_Toc407350896"/>
      <w:bookmarkStart w:id="311" w:name="_Toc408564576"/>
      <w:bookmarkStart w:id="312" w:name="_Toc409169007"/>
      <w:bookmarkStart w:id="313" w:name="_Toc409774757"/>
      <w:bookmarkStart w:id="314" w:name="_Toc410380506"/>
      <w:bookmarkStart w:id="315" w:name="_Toc410982170"/>
      <w:bookmarkStart w:id="316" w:name="_Toc411587715"/>
      <w:bookmarkStart w:id="317" w:name="_Toc412798936"/>
      <w:bookmarkStart w:id="318" w:name="_Toc413401078"/>
      <w:bookmarkStart w:id="319" w:name="_Toc414005850"/>
      <w:bookmarkStart w:id="320" w:name="_Toc415215509"/>
      <w:bookmarkStart w:id="321" w:name="_Toc415827057"/>
      <w:bookmarkStart w:id="322" w:name="_Toc416423737"/>
      <w:bookmarkStart w:id="323" w:name="_Toc417031184"/>
      <w:bookmarkStart w:id="324" w:name="_Toc417634610"/>
      <w:bookmarkStart w:id="325" w:name="_Toc418844126"/>
      <w:bookmarkStart w:id="326" w:name="_Toc419450432"/>
      <w:bookmarkStart w:id="327" w:name="_Toc420056735"/>
      <w:bookmarkStart w:id="328" w:name="_Toc420661557"/>
      <w:bookmarkStart w:id="329" w:name="_Toc421264723"/>
      <w:bookmarkStart w:id="330" w:name="_Toc421871471"/>
      <w:bookmarkStart w:id="331" w:name="_Toc422473458"/>
      <w:bookmarkStart w:id="332" w:name="_Toc423078376"/>
      <w:bookmarkStart w:id="333" w:name="_Toc423682216"/>
      <w:bookmarkStart w:id="334" w:name="_Toc424301013"/>
      <w:bookmarkStart w:id="335" w:name="_Toc424891971"/>
      <w:bookmarkStart w:id="336" w:name="_Toc425495589"/>
      <w:bookmarkStart w:id="337" w:name="_Toc426104624"/>
      <w:bookmarkStart w:id="338" w:name="_Toc426707573"/>
      <w:bookmarkStart w:id="339" w:name="_Toc427312143"/>
      <w:bookmarkStart w:id="340" w:name="_Toc427915952"/>
      <w:bookmarkStart w:id="341" w:name="_Toc428523125"/>
      <w:bookmarkStart w:id="342" w:name="_Toc429732374"/>
      <w:bookmarkStart w:id="343" w:name="_Toc430335764"/>
      <w:bookmarkStart w:id="344" w:name="_Toc430941475"/>
      <w:bookmarkStart w:id="345" w:name="_Toc431546386"/>
      <w:bookmarkStart w:id="346" w:name="_Toc432151519"/>
      <w:bookmarkStart w:id="347" w:name="_Toc432755903"/>
      <w:bookmarkStart w:id="348" w:name="_Toc433361375"/>
      <w:bookmarkStart w:id="349" w:name="_Toc433965274"/>
      <w:bookmarkStart w:id="350" w:name="_Toc434571313"/>
      <w:bookmarkStart w:id="351" w:name="_Toc435172620"/>
      <w:bookmarkStart w:id="352" w:name="_Toc435779446"/>
      <w:bookmarkStart w:id="353" w:name="_Toc436380886"/>
      <w:bookmarkStart w:id="354" w:name="_Toc436991375"/>
      <w:bookmarkStart w:id="355" w:name="_Toc437595397"/>
      <w:bookmarkStart w:id="356" w:name="_Toc440013651"/>
      <w:bookmarkStart w:id="357" w:name="_Toc440621863"/>
      <w:bookmarkStart w:id="358" w:name="_Toc441223773"/>
      <w:bookmarkStart w:id="359" w:name="_Toc441828297"/>
      <w:bookmarkStart w:id="360" w:name="_Toc441828392"/>
      <w:bookmarkStart w:id="361" w:name="_Toc442344474"/>
      <w:bookmarkStart w:id="362" w:name="_Toc443643405"/>
      <w:bookmarkStart w:id="363" w:name="_Toc444246117"/>
      <w:bookmarkStart w:id="364" w:name="_Toc444852040"/>
      <w:bookmarkStart w:id="365" w:name="_Toc445456100"/>
      <w:bookmarkStart w:id="366" w:name="_Toc445973466"/>
      <w:bookmarkStart w:id="367" w:name="_Toc446664819"/>
      <w:bookmarkStart w:id="368" w:name="_Toc447269370"/>
      <w:bookmarkStart w:id="369" w:name="_Toc447874146"/>
      <w:bookmarkStart w:id="370" w:name="_Toc448482075"/>
      <w:bookmarkStart w:id="371" w:name="_Toc449082184"/>
      <w:bookmarkStart w:id="372" w:name="_Toc449689087"/>
      <w:bookmarkStart w:id="373" w:name="_Toc450293025"/>
      <w:bookmarkStart w:id="374" w:name="_Toc450896937"/>
      <w:bookmarkStart w:id="375" w:name="_Toc452625636"/>
      <w:bookmarkStart w:id="376" w:name="_Toc453317631"/>
      <w:bookmarkStart w:id="377" w:name="_Toc453921135"/>
      <w:bookmarkStart w:id="378" w:name="_Toc454525839"/>
      <w:bookmarkStart w:id="379" w:name="_Toc455664215"/>
      <w:bookmarkStart w:id="380" w:name="_Toc456342930"/>
      <w:bookmarkStart w:id="381" w:name="_Toc456948587"/>
      <w:bookmarkStart w:id="382" w:name="_Toc457551647"/>
      <w:bookmarkStart w:id="383" w:name="_Toc458760434"/>
      <w:bookmarkStart w:id="384" w:name="_Toc459970957"/>
      <w:bookmarkStart w:id="385" w:name="_Toc460493834"/>
      <w:bookmarkStart w:id="386" w:name="_Toc461091254"/>
      <w:bookmarkStart w:id="387" w:name="_Toc461785959"/>
      <w:bookmarkStart w:id="388" w:name="_Toc462393212"/>
      <w:bookmarkStart w:id="389" w:name="_Toc462996387"/>
      <w:bookmarkStart w:id="390" w:name="_Toc463600469"/>
      <w:bookmarkStart w:id="391" w:name="_Toc464205355"/>
      <w:bookmarkStart w:id="392" w:name="_Toc464808167"/>
      <w:bookmarkStart w:id="393" w:name="_Toc465341587"/>
      <w:bookmarkStart w:id="394" w:name="_Toc466017253"/>
      <w:bookmarkStart w:id="395" w:name="_Toc466625781"/>
      <w:bookmarkStart w:id="396" w:name="_Toc467231583"/>
      <w:bookmarkStart w:id="397" w:name="_Toc467832923"/>
      <w:bookmarkStart w:id="398" w:name="_Toc468440608"/>
      <w:bookmarkStart w:id="399" w:name="_Toc469043511"/>
      <w:bookmarkStart w:id="400" w:name="_Toc469650540"/>
      <w:bookmarkStart w:id="401" w:name="_Toc472071552"/>
      <w:bookmarkStart w:id="402" w:name="_Toc472672618"/>
      <w:bookmarkStart w:id="403" w:name="_Toc473881014"/>
      <w:bookmarkStart w:id="404" w:name="_Toc474487611"/>
      <w:bookmarkStart w:id="405" w:name="_Toc475090266"/>
      <w:bookmarkStart w:id="406" w:name="_Toc475697891"/>
      <w:bookmarkStart w:id="407" w:name="_Toc476302017"/>
      <w:bookmarkStart w:id="408" w:name="_Toc476906658"/>
      <w:bookmarkStart w:id="409" w:name="_Toc477510747"/>
      <w:bookmarkStart w:id="410" w:name="_Toc478116119"/>
      <w:bookmarkStart w:id="411" w:name="_Toc478723293"/>
      <w:bookmarkStart w:id="412" w:name="_Toc479329710"/>
      <w:bookmarkStart w:id="413" w:name="_Toc479930325"/>
      <w:bookmarkStart w:id="414" w:name="_Toc480539769"/>
      <w:bookmarkStart w:id="415" w:name="_Toc481139996"/>
      <w:bookmarkStart w:id="416" w:name="_Toc482351755"/>
      <w:bookmarkStart w:id="417" w:name="_Toc482956632"/>
      <w:bookmarkStart w:id="418" w:name="_Toc484166265"/>
      <w:bookmarkStart w:id="419" w:name="_Toc484769034"/>
      <w:bookmarkStart w:id="420" w:name="_Toc485286963"/>
      <w:bookmarkStart w:id="421" w:name="_Toc485978047"/>
      <w:bookmarkStart w:id="422" w:name="_Toc486585200"/>
      <w:bookmarkStart w:id="423" w:name="_Toc487190849"/>
      <w:bookmarkStart w:id="424" w:name="_Toc487793128"/>
      <w:bookmarkStart w:id="425" w:name="_Toc488396105"/>
      <w:bookmarkStart w:id="426" w:name="_Toc489005356"/>
      <w:bookmarkStart w:id="427" w:name="_Toc489606922"/>
      <w:bookmarkStart w:id="428" w:name="_Toc490213904"/>
      <w:bookmarkStart w:id="429" w:name="_Toc490819129"/>
      <w:bookmarkStart w:id="430" w:name="_Toc491423492"/>
      <w:bookmarkStart w:id="431" w:name="_Toc492024941"/>
      <w:bookmarkStart w:id="432" w:name="_Toc492631836"/>
      <w:bookmarkStart w:id="433" w:name="_Toc493236264"/>
      <w:bookmarkStart w:id="434" w:name="_Toc493837670"/>
      <w:bookmarkStart w:id="435" w:name="_Toc495050076"/>
      <w:bookmarkStart w:id="436" w:name="_Toc495652582"/>
      <w:bookmarkStart w:id="437" w:name="_Toc496261433"/>
      <w:bookmarkStart w:id="438" w:name="_Toc496867228"/>
      <w:bookmarkStart w:id="439" w:name="_Toc497465791"/>
      <w:bookmarkStart w:id="440" w:name="_Toc498081893"/>
      <w:bookmarkStart w:id="441" w:name="_Toc498682150"/>
      <w:bookmarkStart w:id="442" w:name="_Toc499287549"/>
      <w:bookmarkStart w:id="443" w:name="_Toc499891990"/>
      <w:bookmarkStart w:id="444" w:name="_Toc500496789"/>
      <w:bookmarkStart w:id="445" w:name="_Toc501099734"/>
      <w:bookmarkStart w:id="446" w:name="_Toc501705017"/>
      <w:bookmarkStart w:id="447" w:name="_Toc532560719"/>
      <w:bookmarkStart w:id="448" w:name="_Toc533156844"/>
      <w:bookmarkStart w:id="449" w:name="_Toc533775399"/>
      <w:bookmarkStart w:id="450" w:name="_Toc534372207"/>
      <w:bookmarkStart w:id="451" w:name="_Toc534972008"/>
      <w:bookmarkStart w:id="452" w:name="_Toc535582780"/>
      <w:bookmarkStart w:id="453" w:name="_Toc536187102"/>
      <w:bookmarkStart w:id="454" w:name="_Toc536785388"/>
      <w:bookmarkStart w:id="455" w:name="_Toc1130208"/>
      <w:bookmarkStart w:id="456" w:name="_Toc1727979"/>
      <w:bookmarkStart w:id="457" w:name="_Toc2333094"/>
      <w:bookmarkStart w:id="458" w:name="_Toc2937884"/>
      <w:bookmarkStart w:id="459" w:name="_Toc3543094"/>
      <w:bookmarkStart w:id="460" w:name="_Toc4146388"/>
      <w:bookmarkStart w:id="461" w:name="_Toc4758756"/>
      <w:bookmarkStart w:id="462" w:name="_Toc5357724"/>
      <w:bookmarkStart w:id="463" w:name="_Toc5961962"/>
      <w:bookmarkStart w:id="464" w:name="_Toc6565236"/>
      <w:bookmarkStart w:id="465" w:name="_Toc7172941"/>
      <w:bookmarkStart w:id="466" w:name="_Toc7776782"/>
      <w:bookmarkStart w:id="467" w:name="_Toc8385532"/>
      <w:bookmarkStart w:id="468" w:name="_Toc8986688"/>
      <w:bookmarkStart w:id="469" w:name="_Toc9591439"/>
      <w:bookmarkStart w:id="470" w:name="_Toc10800776"/>
      <w:bookmarkStart w:id="471" w:name="_Toc11403497"/>
      <w:bookmarkStart w:id="472" w:name="_Toc12010882"/>
      <w:bookmarkStart w:id="473" w:name="_Toc12614882"/>
      <w:bookmarkStart w:id="474" w:name="_Toc13219381"/>
      <w:bookmarkStart w:id="475" w:name="_Toc13830731"/>
      <w:bookmarkStart w:id="476" w:name="_Toc14429410"/>
      <w:bookmarkStart w:id="477" w:name="_Toc15034919"/>
      <w:bookmarkStart w:id="478" w:name="_Toc15638234"/>
      <w:bookmarkStart w:id="479" w:name="_Toc16243813"/>
      <w:bookmarkStart w:id="480" w:name="_Toc17453989"/>
      <w:bookmarkStart w:id="481" w:name="_Toc18058957"/>
      <w:bookmarkStart w:id="482" w:name="_Toc18664185"/>
      <w:bookmarkStart w:id="483" w:name="_Toc19268589"/>
      <w:bookmarkStart w:id="484" w:name="_Toc19868194"/>
      <w:bookmarkStart w:id="485" w:name="_Toc20476476"/>
      <w:bookmarkStart w:id="486" w:name="_Toc21082712"/>
      <w:bookmarkStart w:id="487" w:name="_Toc21596842"/>
      <w:bookmarkStart w:id="488" w:name="_Toc22292243"/>
      <w:bookmarkStart w:id="489" w:name="_Toc22902068"/>
      <w:bookmarkStart w:id="490" w:name="_Toc23500781"/>
      <w:bookmarkStart w:id="491" w:name="_Toc24106263"/>
      <w:bookmarkStart w:id="492" w:name="_Toc24708409"/>
      <w:bookmarkStart w:id="493" w:name="_Toc25235410"/>
      <w:bookmarkStart w:id="494" w:name="_Toc25920237"/>
      <w:bookmarkStart w:id="495" w:name="_Toc26524512"/>
      <w:bookmarkStart w:id="496" w:name="_Toc27130353"/>
      <w:bookmarkStart w:id="497" w:name="_Toc28949352"/>
      <w:bookmarkStart w:id="498" w:name="_Toc29553156"/>
      <w:bookmarkStart w:id="499" w:name="_Toc31365279"/>
      <w:bookmarkStart w:id="500" w:name="_Toc31968685"/>
      <w:bookmarkStart w:id="501" w:name="_Toc33177775"/>
      <w:bookmarkStart w:id="502" w:name="_Toc33784200"/>
      <w:bookmarkStart w:id="503" w:name="_Toc34387335"/>
      <w:bookmarkStart w:id="504" w:name="_Toc34992445"/>
      <w:bookmarkStart w:id="505" w:name="_Toc36200892"/>
      <w:bookmarkStart w:id="506" w:name="_Toc36804861"/>
      <w:bookmarkStart w:id="507" w:name="_Toc37412094"/>
      <w:bookmarkStart w:id="508" w:name="_Toc38016888"/>
      <w:bookmarkStart w:id="509" w:name="_Toc38623239"/>
      <w:bookmarkStart w:id="510" w:name="_Toc47007107"/>
      <w:bookmarkStart w:id="511" w:name="_Toc47608050"/>
      <w:bookmarkStart w:id="512" w:name="_Toc48219506"/>
      <w:bookmarkStart w:id="513" w:name="_Toc48816707"/>
      <w:bookmarkStart w:id="514" w:name="_Toc49427952"/>
      <w:bookmarkStart w:id="515" w:name="_Toc50027099"/>
      <w:bookmarkStart w:id="516" w:name="_Toc50638510"/>
      <w:bookmarkStart w:id="517" w:name="_Toc51235700"/>
      <w:bookmarkStart w:id="518" w:name="_Toc51848402"/>
      <w:bookmarkStart w:id="519" w:name="_Toc52453551"/>
      <w:bookmarkStart w:id="520" w:name="_Toc53055803"/>
      <w:bookmarkStart w:id="521" w:name="_Toc53660724"/>
      <w:bookmarkStart w:id="522" w:name="_Toc54259223"/>
      <w:bookmarkStart w:id="523" w:name="_Toc54865636"/>
      <w:bookmarkStart w:id="524" w:name="_Toc55477667"/>
      <w:bookmarkStart w:id="525" w:name="_Toc56073555"/>
      <w:bookmarkStart w:id="526" w:name="_Toc56678763"/>
      <w:bookmarkStart w:id="527" w:name="_Toc57284472"/>
      <w:bookmarkStart w:id="528" w:name="_Toc57895622"/>
      <w:bookmarkStart w:id="529" w:name="_Toc58494288"/>
      <w:bookmarkStart w:id="530" w:name="_Toc59104490"/>
      <w:bookmarkStart w:id="531" w:name="_Toc60922248"/>
      <w:bookmarkStart w:id="532" w:name="_Toc61518216"/>
      <w:bookmarkStart w:id="533" w:name="_Toc62129059"/>
      <w:bookmarkStart w:id="534" w:name="_Toc62734938"/>
      <w:bookmarkStart w:id="535" w:name="_Toc63333213"/>
      <w:bookmarkStart w:id="536" w:name="_Toc65152050"/>
      <w:bookmarkStart w:id="537" w:name="_Toc65759402"/>
      <w:bookmarkStart w:id="538" w:name="_Toc66363540"/>
      <w:bookmarkStart w:id="539" w:name="_Toc66960047"/>
      <w:bookmarkStart w:id="540" w:name="_Toc67652144"/>
      <w:bookmarkStart w:id="541" w:name="_Toc68179920"/>
      <w:bookmarkStart w:id="542" w:name="_Toc68774147"/>
      <w:bookmarkStart w:id="543" w:name="_Toc69386915"/>
      <w:bookmarkStart w:id="544" w:name="_Toc69991769"/>
      <w:bookmarkStart w:id="545" w:name="_Toc70509841"/>
      <w:bookmarkStart w:id="546" w:name="_Toc71207395"/>
      <w:bookmarkStart w:id="547" w:name="_Toc71799306"/>
      <w:bookmarkStart w:id="548" w:name="_Toc72414975"/>
      <w:bookmarkStart w:id="549" w:name="_Toc73015454"/>
      <w:bookmarkStart w:id="550" w:name="_Toc73618178"/>
      <w:bookmarkStart w:id="551" w:name="_Toc74224512"/>
      <w:bookmarkStart w:id="552" w:name="_Toc74836030"/>
      <w:bookmarkStart w:id="553" w:name="_Toc75439623"/>
      <w:bookmarkStart w:id="554" w:name="_Toc76033389"/>
      <w:bookmarkStart w:id="555" w:name="_Toc76568184"/>
      <w:bookmarkStart w:id="556" w:name="_Toc77249823"/>
      <w:bookmarkStart w:id="557" w:name="_Toc77848118"/>
      <w:bookmarkStart w:id="558" w:name="_Toc78458401"/>
      <w:bookmarkStart w:id="559" w:name="_Toc79065737"/>
      <w:bookmarkStart w:id="560" w:name="_Toc79674827"/>
      <w:bookmarkStart w:id="561" w:name="_Toc80967353"/>
      <w:bookmarkStart w:id="562" w:name="_Toc82098803"/>
      <w:bookmarkStart w:id="563" w:name="_Toc82697204"/>
      <w:bookmarkStart w:id="564" w:name="_Toc83296668"/>
      <w:bookmarkStart w:id="565" w:name="_Toc83896627"/>
      <w:bookmarkStart w:id="566" w:name="_Toc84511070"/>
      <w:bookmarkStart w:id="567" w:name="_Toc85126355"/>
      <w:bookmarkStart w:id="568" w:name="_Toc85726062"/>
      <w:bookmarkStart w:id="569" w:name="_Toc86326951"/>
      <w:bookmarkStart w:id="570" w:name="_Toc86928725"/>
      <w:bookmarkStart w:id="571" w:name="_Toc87533864"/>
      <w:bookmarkStart w:id="572" w:name="_Toc88139975"/>
      <w:bookmarkStart w:id="573" w:name="_Toc88827424"/>
      <w:bookmarkStart w:id="574" w:name="_Toc89348597"/>
      <w:bookmarkStart w:id="575" w:name="_Toc89954358"/>
      <w:bookmarkStart w:id="576" w:name="_Toc90547129"/>
      <w:bookmarkStart w:id="577" w:name="_Toc91162877"/>
      <w:bookmarkStart w:id="578" w:name="_Toc92977891"/>
      <w:bookmarkStart w:id="579" w:name="_Toc93582834"/>
      <w:bookmarkStart w:id="580" w:name="_Toc94185876"/>
      <w:bookmarkStart w:id="581" w:name="_Toc124758941"/>
      <w:bookmarkStart w:id="582" w:name="_Toc126243198"/>
      <w:bookmarkStart w:id="583" w:name="_Toc126844373"/>
      <w:bookmarkStart w:id="584" w:name="_Toc127449235"/>
      <w:bookmarkStart w:id="585" w:name="_Toc128057345"/>
      <w:bookmarkStart w:id="586" w:name="_Toc128657897"/>
      <w:bookmarkStart w:id="587" w:name="_Toc129265043"/>
      <w:bookmarkStart w:id="588" w:name="_Toc129869285"/>
      <w:bookmarkStart w:id="589" w:name="_Toc130472589"/>
      <w:bookmarkStart w:id="590" w:name="_Toc131080428"/>
      <w:bookmarkStart w:id="591" w:name="_Toc131684261"/>
      <w:bookmarkStart w:id="592" w:name="_Toc132288737"/>
      <w:bookmarkStart w:id="593" w:name="_Toc132880394"/>
      <w:bookmarkStart w:id="594" w:name="_Toc133498212"/>
      <w:bookmarkStart w:id="595" w:name="_Toc134108008"/>
      <w:bookmarkStart w:id="596" w:name="_Toc134709546"/>
      <w:bookmarkStart w:id="597" w:name="_Toc134709697"/>
      <w:bookmarkStart w:id="598" w:name="_Toc135315971"/>
      <w:bookmarkStart w:id="599" w:name="_Toc135915560"/>
      <w:bookmarkStart w:id="600" w:name="_Toc136526488"/>
      <w:bookmarkStart w:id="601" w:name="_Toc137126048"/>
      <w:bookmarkStart w:id="602" w:name="_Toc137733673"/>
      <w:bookmarkStart w:id="603" w:name="_Toc138336639"/>
      <w:bookmarkStart w:id="604" w:name="_Toc138940624"/>
      <w:bookmarkStart w:id="605" w:name="_Toc139544020"/>
      <w:bookmarkStart w:id="606" w:name="_Toc140151831"/>
      <w:bookmarkStart w:id="607" w:name="_Toc140757908"/>
      <w:bookmarkStart w:id="608" w:name="_Toc141359485"/>
      <w:bookmarkStart w:id="609" w:name="_Toc141965597"/>
      <w:bookmarkStart w:id="610" w:name="_Toc142569946"/>
      <w:bookmarkStart w:id="611" w:name="_Toc143175000"/>
      <w:bookmarkStart w:id="612" w:name="_Toc143779701"/>
      <w:bookmarkStart w:id="613" w:name="_Toc144384328"/>
      <w:bookmarkStart w:id="614" w:name="_Toc144991140"/>
      <w:bookmarkStart w:id="615" w:name="_Toc145601270"/>
      <w:bookmarkStart w:id="616" w:name="_Toc146205291"/>
      <w:bookmarkStart w:id="617" w:name="_Toc146808598"/>
      <w:bookmarkStart w:id="618" w:name="_Toc147412055"/>
      <w:bookmarkStart w:id="619" w:name="_Toc148007939"/>
      <w:bookmarkStart w:id="620" w:name="_Toc148621870"/>
      <w:bookmarkStart w:id="621" w:name="_Toc149228680"/>
      <w:bookmarkStart w:id="622" w:name="_Toc149826953"/>
      <w:bookmarkStart w:id="623" w:name="_Toc150433299"/>
      <w:bookmarkStart w:id="624" w:name="_Toc151040597"/>
      <w:bookmarkStart w:id="625" w:name="_Toc151645174"/>
      <w:bookmarkStart w:id="626" w:name="_Toc152248763"/>
      <w:bookmarkStart w:id="627" w:name="_Toc153458086"/>
      <w:bookmarkStart w:id="628" w:name="_Toc154061703"/>
      <w:bookmarkStart w:id="629" w:name="_Toc185497336"/>
      <w:bookmarkStart w:id="630" w:name="_Toc186722696"/>
      <w:bookmarkStart w:id="631" w:name="_Toc187326020"/>
      <w:bookmarkStart w:id="632" w:name="_Toc187919320"/>
      <w:bookmarkStart w:id="633" w:name="_Toc188519313"/>
      <w:bookmarkStart w:id="634" w:name="_Toc189746404"/>
      <w:bookmarkStart w:id="635" w:name="_Toc190348428"/>
      <w:bookmarkStart w:id="636" w:name="_Toc190954013"/>
      <w:bookmarkStart w:id="637" w:name="_Toc191559698"/>
      <w:bookmarkStart w:id="638"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5094635" w14:textId="77777777" w:rsidR="00591378" w:rsidRPr="00591378" w:rsidRDefault="00591378" w:rsidP="00591378"/>
    <w:p w14:paraId="26A49E3C" w14:textId="77777777" w:rsidR="00482C88" w:rsidRPr="00482C88" w:rsidRDefault="00482C88" w:rsidP="00482C88">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639" w:name="_Toc218772673"/>
      <w:r w:rsidRPr="00482C88">
        <w:rPr>
          <w:rFonts w:ascii="Aptos" w:eastAsia="Times New Roman" w:hAnsi="Aptos" w:cs="Times New Roman"/>
          <w:b/>
          <w:bCs/>
          <w:color w:val="002060"/>
          <w:kern w:val="36"/>
          <w:sz w:val="28"/>
          <w:szCs w:val="28"/>
        </w:rPr>
        <w:t>Vietnam's 2025 GDP grows 8.02%</w:t>
      </w:r>
      <w:bookmarkEnd w:id="639"/>
    </w:p>
    <w:p w14:paraId="14572690" w14:textId="269E2360" w:rsidR="00482C88" w:rsidRPr="00482C88" w:rsidRDefault="00482C88" w:rsidP="00482C88">
      <w:pPr>
        <w:spacing w:after="0" w:line="288" w:lineRule="auto"/>
        <w:jc w:val="both"/>
        <w:rPr>
          <w:rFonts w:ascii="Aptos" w:eastAsia="Times New Roman" w:hAnsi="Aptos" w:cs="Times New Roman"/>
          <w:i/>
          <w:iCs/>
          <w:color w:val="002060"/>
          <w:sz w:val="18"/>
          <w:szCs w:val="18"/>
        </w:rPr>
      </w:pPr>
      <w:r w:rsidRPr="00482C88">
        <w:rPr>
          <w:rFonts w:ascii="Aptos" w:eastAsia="Times New Roman" w:hAnsi="Aptos" w:cs="Times New Roman"/>
          <w:i/>
          <w:iCs/>
          <w:color w:val="002060"/>
          <w:sz w:val="18"/>
          <w:szCs w:val="18"/>
        </w:rPr>
        <w:t>VET</w:t>
      </w:r>
    </w:p>
    <w:p w14:paraId="2A29F0DE" w14:textId="77777777" w:rsidR="00482C88" w:rsidRPr="00482C88" w:rsidRDefault="00482C88" w:rsidP="00482C88">
      <w:pPr>
        <w:spacing w:after="0" w:line="288" w:lineRule="auto"/>
        <w:jc w:val="both"/>
        <w:rPr>
          <w:rFonts w:ascii="Aptos" w:eastAsia="Times New Roman" w:hAnsi="Aptos" w:cs="Times New Roman"/>
          <w:color w:val="002060"/>
        </w:rPr>
      </w:pPr>
    </w:p>
    <w:p w14:paraId="6E6F0FB7" w14:textId="77777777" w:rsidR="00482C88" w:rsidRPr="00482C88" w:rsidRDefault="00482C88" w:rsidP="00482C88">
      <w:pPr>
        <w:spacing w:after="100" w:afterAutospacing="1" w:line="288" w:lineRule="auto"/>
        <w:jc w:val="both"/>
        <w:outlineLvl w:val="1"/>
        <w:rPr>
          <w:rFonts w:ascii="Aptos" w:eastAsia="Times New Roman" w:hAnsi="Aptos" w:cs="Arial"/>
          <w:b/>
          <w:bCs/>
          <w:color w:val="002060"/>
        </w:rPr>
      </w:pPr>
      <w:bookmarkStart w:id="640" w:name="_Toc218772674"/>
      <w:r w:rsidRPr="00482C88">
        <w:rPr>
          <w:rFonts w:ascii="Aptos" w:eastAsia="Times New Roman" w:hAnsi="Aptos" w:cs="Arial"/>
          <w:b/>
          <w:bCs/>
          <w:color w:val="002060"/>
        </w:rPr>
        <w:t xml:space="preserve">The GDP estimated at </w:t>
      </w:r>
      <w:proofErr w:type="spellStart"/>
      <w:r w:rsidRPr="00482C88">
        <w:rPr>
          <w:rFonts w:ascii="Aptos" w:eastAsia="Times New Roman" w:hAnsi="Aptos" w:cs="Arial"/>
          <w:b/>
          <w:bCs/>
          <w:color w:val="002060"/>
        </w:rPr>
        <w:t>VND12.85</w:t>
      </w:r>
      <w:proofErr w:type="spellEnd"/>
      <w:r w:rsidRPr="00482C88">
        <w:rPr>
          <w:rFonts w:ascii="Aptos" w:eastAsia="Times New Roman" w:hAnsi="Aptos" w:cs="Arial"/>
          <w:b/>
          <w:bCs/>
          <w:color w:val="002060"/>
        </w:rPr>
        <w:t xml:space="preserve"> quadrillion (approximately $489.07 billion).</w:t>
      </w:r>
      <w:bookmarkEnd w:id="640"/>
    </w:p>
    <w:p w14:paraId="5D914968" w14:textId="77777777" w:rsidR="00482C88" w:rsidRPr="00482C88" w:rsidRDefault="00482C88" w:rsidP="00482C88">
      <w:pPr>
        <w:shd w:val="clear" w:color="auto" w:fill="FFFFFF"/>
        <w:spacing w:before="100" w:beforeAutospacing="1" w:after="100" w:afterAutospacing="1" w:line="288" w:lineRule="auto"/>
        <w:jc w:val="both"/>
        <w:rPr>
          <w:rFonts w:ascii="Aptos" w:eastAsia="Times New Roman" w:hAnsi="Aptos" w:cs="Arial"/>
          <w:color w:val="002060"/>
        </w:rPr>
      </w:pPr>
      <w:r w:rsidRPr="00482C88">
        <w:rPr>
          <w:rFonts w:ascii="Aptos" w:eastAsia="Times New Roman" w:hAnsi="Aptos" w:cs="Arial"/>
          <w:color w:val="002060"/>
        </w:rPr>
        <w:t>Vietnam’s gross domestic product (GDP) is estimated to have grown 8.02% year on year in 2025, despite the impact of severe natural disasters and a volatile global environment, according to the National Statistics Office (</w:t>
      </w:r>
      <w:proofErr w:type="spellStart"/>
      <w:r w:rsidRPr="00482C88">
        <w:rPr>
          <w:rFonts w:ascii="Aptos" w:eastAsia="Times New Roman" w:hAnsi="Aptos" w:cs="Arial"/>
          <w:color w:val="002060"/>
        </w:rPr>
        <w:t>NSO</w:t>
      </w:r>
      <w:proofErr w:type="spellEnd"/>
      <w:r w:rsidRPr="00482C88">
        <w:rPr>
          <w:rFonts w:ascii="Aptos" w:eastAsia="Times New Roman" w:hAnsi="Aptos" w:cs="Arial"/>
          <w:color w:val="002060"/>
        </w:rPr>
        <w:t>).</w:t>
      </w:r>
    </w:p>
    <w:p w14:paraId="29B9F7FE" w14:textId="77777777" w:rsidR="00482C88" w:rsidRPr="00482C88" w:rsidRDefault="00482C88" w:rsidP="00482C88">
      <w:pPr>
        <w:shd w:val="clear" w:color="auto" w:fill="FFFFFF"/>
        <w:spacing w:before="100" w:beforeAutospacing="1" w:after="100" w:afterAutospacing="1" w:line="288" w:lineRule="auto"/>
        <w:jc w:val="both"/>
        <w:rPr>
          <w:rFonts w:ascii="Aptos" w:eastAsia="Times New Roman" w:hAnsi="Aptos" w:cs="Arial"/>
          <w:color w:val="002060"/>
        </w:rPr>
      </w:pPr>
      <w:r w:rsidRPr="00482C88">
        <w:rPr>
          <w:rFonts w:ascii="Aptos" w:eastAsia="Times New Roman" w:hAnsi="Aptos" w:cs="Arial"/>
          <w:color w:val="002060"/>
        </w:rPr>
        <w:t xml:space="preserve">At current prices, the country’s GDP in 2025 was estimated at nearly </w:t>
      </w:r>
      <w:proofErr w:type="spellStart"/>
      <w:r w:rsidRPr="00482C88">
        <w:rPr>
          <w:rFonts w:ascii="Aptos" w:eastAsia="Times New Roman" w:hAnsi="Aptos" w:cs="Arial"/>
          <w:color w:val="002060"/>
        </w:rPr>
        <w:t>VND12.85</w:t>
      </w:r>
      <w:proofErr w:type="spellEnd"/>
      <w:r w:rsidRPr="00482C88">
        <w:rPr>
          <w:rFonts w:ascii="Aptos" w:eastAsia="Times New Roman" w:hAnsi="Aptos" w:cs="Arial"/>
          <w:color w:val="002060"/>
        </w:rPr>
        <w:t xml:space="preserve"> quadrillion (approximately $514 billion), an increase of about $38 billion compared to 2024. GDP per capita reached </w:t>
      </w:r>
      <w:proofErr w:type="spellStart"/>
      <w:r w:rsidRPr="00482C88">
        <w:rPr>
          <w:rFonts w:ascii="Aptos" w:eastAsia="Times New Roman" w:hAnsi="Aptos" w:cs="Arial"/>
          <w:color w:val="002060"/>
        </w:rPr>
        <w:t>VND125.5</w:t>
      </w:r>
      <w:proofErr w:type="spellEnd"/>
      <w:r w:rsidRPr="00482C88">
        <w:rPr>
          <w:rFonts w:ascii="Aptos" w:eastAsia="Times New Roman" w:hAnsi="Aptos" w:cs="Arial"/>
          <w:color w:val="002060"/>
        </w:rPr>
        <w:t xml:space="preserve"> million (roughly $5,026), up $326 against 2024 ($4,700).</w:t>
      </w:r>
    </w:p>
    <w:p w14:paraId="5E6BA39D" w14:textId="77777777" w:rsidR="00482C88" w:rsidRPr="00482C88" w:rsidRDefault="00482C88" w:rsidP="00482C88">
      <w:pPr>
        <w:shd w:val="clear" w:color="auto" w:fill="FFFFFF"/>
        <w:spacing w:before="100" w:beforeAutospacing="1" w:after="100" w:afterAutospacing="1" w:line="288" w:lineRule="auto"/>
        <w:jc w:val="both"/>
        <w:rPr>
          <w:rFonts w:ascii="Aptos" w:eastAsia="Times New Roman" w:hAnsi="Aptos" w:cs="Arial"/>
          <w:color w:val="002060"/>
        </w:rPr>
      </w:pPr>
      <w:r w:rsidRPr="00482C88">
        <w:rPr>
          <w:rFonts w:ascii="Aptos" w:eastAsia="Times New Roman" w:hAnsi="Aptos" w:cs="Arial"/>
          <w:color w:val="002060"/>
        </w:rPr>
        <w:t>Economic recovery and growth were driven mainly by the three key sectors. Agriculture, forestry and fisheries expanded 3.78%, contributing 5.3% to overall growth. Industry and construction recorded robust growth of 8.95%, accounting for 43.62%, while the services sector rose 8.62%, making the largest contribution at 51.08%.</w:t>
      </w:r>
    </w:p>
    <w:p w14:paraId="62709DCB" w14:textId="77777777" w:rsidR="00482C88" w:rsidRPr="00482C88" w:rsidRDefault="00482C88" w:rsidP="00482C88">
      <w:pPr>
        <w:shd w:val="clear" w:color="auto" w:fill="FFFFFF"/>
        <w:spacing w:before="100" w:beforeAutospacing="1" w:after="100" w:afterAutospacing="1" w:line="288" w:lineRule="auto"/>
        <w:jc w:val="both"/>
        <w:rPr>
          <w:rFonts w:ascii="Aptos" w:eastAsia="Times New Roman" w:hAnsi="Aptos" w:cs="Arial"/>
          <w:color w:val="002060"/>
        </w:rPr>
      </w:pPr>
      <w:proofErr w:type="spellStart"/>
      <w:r w:rsidRPr="00482C88">
        <w:rPr>
          <w:rFonts w:ascii="Aptos" w:eastAsia="Times New Roman" w:hAnsi="Aptos" w:cs="Arial"/>
          <w:color w:val="002060"/>
        </w:rPr>
        <w:t>Labour</w:t>
      </w:r>
      <w:proofErr w:type="spellEnd"/>
      <w:r w:rsidRPr="00482C88">
        <w:rPr>
          <w:rFonts w:ascii="Aptos" w:eastAsia="Times New Roman" w:hAnsi="Aptos" w:cs="Arial"/>
          <w:color w:val="002060"/>
        </w:rPr>
        <w:t xml:space="preserve"> productivity continued to improve, reaching an estimated $9,809 per worker. Meanwhile, the proportion of trained workers holding degrees or certificates increased to 29.2%, reflecting gradual improvements in the quality of the workforce.</w:t>
      </w:r>
    </w:p>
    <w:p w14:paraId="17374C90" w14:textId="77777777" w:rsidR="00591378" w:rsidRDefault="00935517" w:rsidP="00591378">
      <w:pPr>
        <w:spacing w:line="288" w:lineRule="auto"/>
        <w:jc w:val="right"/>
        <w:rPr>
          <w:rStyle w:val="Hyperlink"/>
          <w:rFonts w:ascii="Aptos" w:eastAsia="Malgun Gothic" w:hAnsi="Aptos" w:cs="Times New Roman"/>
          <w:color w:val="002060"/>
        </w:rPr>
      </w:pPr>
      <w:hyperlink w:anchor="_top" w:history="1">
        <w:r w:rsidR="00591378" w:rsidRPr="004C6CBE">
          <w:rPr>
            <w:rStyle w:val="Hyperlink"/>
            <w:rFonts w:ascii="Aptos" w:eastAsia="Malgun Gothic" w:hAnsi="Aptos" w:cs="Times New Roman"/>
            <w:color w:val="002060"/>
          </w:rPr>
          <w:t>Back to Top</w:t>
        </w:r>
      </w:hyperlink>
    </w:p>
    <w:p w14:paraId="71DE5DCF" w14:textId="77777777" w:rsidR="00591378" w:rsidRPr="004C6CBE" w:rsidRDefault="00591378" w:rsidP="00591378">
      <w:pPr>
        <w:spacing w:line="288" w:lineRule="auto"/>
        <w:jc w:val="right"/>
        <w:rPr>
          <w:rStyle w:val="Hyperlink"/>
          <w:rFonts w:ascii="Aptos" w:eastAsia="Malgun Gothic" w:hAnsi="Aptos" w:cs="Times New Roman"/>
          <w:color w:val="002060"/>
        </w:rPr>
      </w:pPr>
    </w:p>
    <w:p w14:paraId="6704BDAD" w14:textId="77777777" w:rsidR="00482C88" w:rsidRDefault="00482C88" w:rsidP="00482C88">
      <w:pPr>
        <w:spacing w:after="150" w:line="240" w:lineRule="auto"/>
        <w:outlineLvl w:val="0"/>
        <w:rPr>
          <w:rFonts w:ascii="Times New Roman" w:eastAsia="Times New Roman" w:hAnsi="Times New Roman" w:cs="Times New Roman"/>
          <w:kern w:val="36"/>
          <w:sz w:val="48"/>
          <w:szCs w:val="48"/>
        </w:rPr>
      </w:pPr>
    </w:p>
    <w:p w14:paraId="222104C0" w14:textId="5FDAC6AD" w:rsidR="00482C88" w:rsidRPr="00482C88" w:rsidRDefault="00482C88" w:rsidP="00482C88">
      <w:pPr>
        <w:spacing w:after="150" w:line="288" w:lineRule="auto"/>
        <w:jc w:val="both"/>
        <w:outlineLvl w:val="0"/>
        <w:rPr>
          <w:rFonts w:ascii="Aptos" w:eastAsia="Times New Roman" w:hAnsi="Aptos" w:cs="Times New Roman"/>
          <w:b/>
          <w:bCs/>
          <w:color w:val="002060"/>
          <w:kern w:val="36"/>
          <w:sz w:val="28"/>
          <w:szCs w:val="28"/>
        </w:rPr>
      </w:pPr>
      <w:bookmarkStart w:id="641" w:name="_Toc218772675"/>
      <w:r w:rsidRPr="00482C88">
        <w:rPr>
          <w:rFonts w:ascii="Aptos" w:eastAsia="Times New Roman" w:hAnsi="Aptos" w:cs="Times New Roman"/>
          <w:b/>
          <w:bCs/>
          <w:color w:val="002060"/>
          <w:kern w:val="36"/>
          <w:sz w:val="28"/>
          <w:szCs w:val="28"/>
        </w:rPr>
        <w:t xml:space="preserve">Plan approved to implement </w:t>
      </w:r>
      <w:proofErr w:type="spellStart"/>
      <w:r w:rsidRPr="00482C88">
        <w:rPr>
          <w:rFonts w:ascii="Aptos" w:eastAsia="Times New Roman" w:hAnsi="Aptos" w:cs="Times New Roman"/>
          <w:b/>
          <w:bCs/>
          <w:color w:val="002060"/>
          <w:kern w:val="36"/>
          <w:sz w:val="28"/>
          <w:szCs w:val="28"/>
        </w:rPr>
        <w:t>Việt</w:t>
      </w:r>
      <w:proofErr w:type="spellEnd"/>
      <w:r w:rsidRPr="00482C88">
        <w:rPr>
          <w:rFonts w:ascii="Aptos" w:eastAsia="Times New Roman" w:hAnsi="Aptos" w:cs="Times New Roman"/>
          <w:b/>
          <w:bCs/>
          <w:color w:val="002060"/>
          <w:kern w:val="36"/>
          <w:sz w:val="28"/>
          <w:szCs w:val="28"/>
        </w:rPr>
        <w:t xml:space="preserve"> Nam – Israel FTA</w:t>
      </w:r>
      <w:bookmarkEnd w:id="641"/>
    </w:p>
    <w:p w14:paraId="00A57CA2" w14:textId="44C57A9A" w:rsidR="00482C88" w:rsidRPr="00482C88" w:rsidRDefault="00482C88" w:rsidP="00482C88">
      <w:pPr>
        <w:spacing w:after="150" w:line="288" w:lineRule="auto"/>
        <w:jc w:val="both"/>
        <w:outlineLvl w:val="0"/>
        <w:rPr>
          <w:rFonts w:ascii="Aptos" w:eastAsia="Times New Roman" w:hAnsi="Aptos" w:cs="Segoe UI"/>
          <w:i/>
          <w:iCs/>
          <w:color w:val="002060"/>
          <w:sz w:val="18"/>
          <w:szCs w:val="18"/>
        </w:rPr>
      </w:pPr>
      <w:bookmarkStart w:id="642" w:name="_Toc218772676"/>
      <w:proofErr w:type="spellStart"/>
      <w:r w:rsidRPr="00482C88">
        <w:rPr>
          <w:rFonts w:ascii="Aptos" w:eastAsia="Times New Roman" w:hAnsi="Aptos" w:cs="Segoe UI"/>
          <w:i/>
          <w:iCs/>
          <w:color w:val="002060"/>
          <w:sz w:val="18"/>
          <w:szCs w:val="18"/>
        </w:rPr>
        <w:t>VNA</w:t>
      </w:r>
      <w:proofErr w:type="spellEnd"/>
      <w:r w:rsidRPr="00482C88">
        <w:rPr>
          <w:rFonts w:ascii="Aptos" w:eastAsia="Times New Roman" w:hAnsi="Aptos" w:cs="Segoe UI"/>
          <w:i/>
          <w:iCs/>
          <w:color w:val="002060"/>
          <w:sz w:val="18"/>
          <w:szCs w:val="18"/>
        </w:rPr>
        <w:t>/VNS</w:t>
      </w:r>
      <w:bookmarkEnd w:id="642"/>
    </w:p>
    <w:p w14:paraId="1D22EC95" w14:textId="77777777" w:rsidR="00482C88" w:rsidRPr="00482C88" w:rsidRDefault="00482C88" w:rsidP="00482C88">
      <w:pPr>
        <w:spacing w:after="150" w:line="288" w:lineRule="auto"/>
        <w:jc w:val="both"/>
        <w:outlineLvl w:val="0"/>
        <w:rPr>
          <w:rFonts w:ascii="Aptos" w:eastAsia="Times New Roman" w:hAnsi="Aptos" w:cs="Times New Roman"/>
          <w:color w:val="002060"/>
          <w:kern w:val="36"/>
        </w:rPr>
      </w:pPr>
    </w:p>
    <w:p w14:paraId="4D3E0ABA" w14:textId="77777777" w:rsidR="00482C88" w:rsidRPr="00482C88" w:rsidRDefault="00482C88" w:rsidP="00482C88">
      <w:pPr>
        <w:spacing w:line="288" w:lineRule="auto"/>
        <w:jc w:val="both"/>
        <w:rPr>
          <w:rFonts w:ascii="Aptos" w:eastAsia="Times New Roman" w:hAnsi="Aptos" w:cs="Times New Roman"/>
          <w:color w:val="002060"/>
        </w:rPr>
      </w:pPr>
      <w:r w:rsidRPr="00482C88">
        <w:rPr>
          <w:rFonts w:ascii="Aptos" w:eastAsia="Times New Roman" w:hAnsi="Aptos" w:cs="Times New Roman"/>
          <w:color w:val="002060"/>
        </w:rPr>
        <w:lastRenderedPageBreak/>
        <w:t xml:space="preserve">The plan calls for stronger trade and investment promotion activities in Israel to inform Israeli businesses about </w:t>
      </w:r>
      <w:proofErr w:type="spellStart"/>
      <w:r w:rsidRPr="00482C88">
        <w:rPr>
          <w:rFonts w:ascii="Aptos" w:eastAsia="Times New Roman" w:hAnsi="Aptos" w:cs="Times New Roman"/>
          <w:color w:val="002060"/>
        </w:rPr>
        <w:t>Việt</w:t>
      </w:r>
      <w:proofErr w:type="spellEnd"/>
      <w:r w:rsidRPr="00482C88">
        <w:rPr>
          <w:rFonts w:ascii="Aptos" w:eastAsia="Times New Roman" w:hAnsi="Aptos" w:cs="Times New Roman"/>
          <w:color w:val="002060"/>
        </w:rPr>
        <w:t xml:space="preserve"> Nam’s investment climate and advantages, thereby expanding bilateral trade ties, attracting foreign investment into priority sectors and promoting Vietnamese goods to Israeli consumers and importers.</w:t>
      </w:r>
    </w:p>
    <w:p w14:paraId="6D308D30" w14:textId="36A57475" w:rsidR="00482C8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Prime Minister </w:t>
      </w:r>
      <w:proofErr w:type="spellStart"/>
      <w:r w:rsidRPr="00482C88">
        <w:rPr>
          <w:rFonts w:ascii="Aptos" w:eastAsia="Times New Roman" w:hAnsi="Aptos" w:cs="Segoe UI"/>
          <w:color w:val="002060"/>
        </w:rPr>
        <w:t>Phạm</w:t>
      </w:r>
      <w:proofErr w:type="spellEnd"/>
      <w:r w:rsidRPr="00482C88">
        <w:rPr>
          <w:rFonts w:ascii="Aptos" w:eastAsia="Times New Roman" w:hAnsi="Aptos" w:cs="Segoe UI"/>
          <w:color w:val="002060"/>
        </w:rPr>
        <w:t xml:space="preserve"> Minh </w:t>
      </w:r>
      <w:proofErr w:type="spellStart"/>
      <w:r w:rsidRPr="00482C88">
        <w:rPr>
          <w:rFonts w:ascii="Aptos" w:eastAsia="Times New Roman" w:hAnsi="Aptos" w:cs="Segoe UI"/>
          <w:color w:val="002060"/>
        </w:rPr>
        <w:t>Chính</w:t>
      </w:r>
      <w:proofErr w:type="spellEnd"/>
      <w:r w:rsidRPr="00482C88">
        <w:rPr>
          <w:rFonts w:ascii="Aptos" w:eastAsia="Times New Roman" w:hAnsi="Aptos" w:cs="Segoe UI"/>
          <w:color w:val="002060"/>
        </w:rPr>
        <w:t xml:space="preserve"> has signed Decision No. 16/</w:t>
      </w:r>
      <w:proofErr w:type="spellStart"/>
      <w:r w:rsidRPr="00482C88">
        <w:rPr>
          <w:rFonts w:ascii="Aptos" w:eastAsia="Times New Roman" w:hAnsi="Aptos" w:cs="Segoe UI"/>
          <w:color w:val="002060"/>
        </w:rPr>
        <w:t>QĐ-TTg</w:t>
      </w:r>
      <w:proofErr w:type="spellEnd"/>
      <w:r w:rsidRPr="00482C88">
        <w:rPr>
          <w:rFonts w:ascii="Aptos" w:eastAsia="Times New Roman" w:hAnsi="Aptos" w:cs="Segoe UI"/>
          <w:color w:val="002060"/>
        </w:rPr>
        <w:t xml:space="preserve"> approving a plan to implement the Free Trade Agreement between </w:t>
      </w:r>
      <w:proofErr w:type="spellStart"/>
      <w:r w:rsidRPr="00482C88">
        <w:rPr>
          <w:rFonts w:ascii="Aptos" w:eastAsia="Times New Roman" w:hAnsi="Aptos" w:cs="Segoe UI"/>
          <w:color w:val="002060"/>
        </w:rPr>
        <w:t>Việt</w:t>
      </w:r>
      <w:proofErr w:type="spellEnd"/>
      <w:r w:rsidRPr="00482C88">
        <w:rPr>
          <w:rFonts w:ascii="Aptos" w:eastAsia="Times New Roman" w:hAnsi="Aptos" w:cs="Segoe UI"/>
          <w:color w:val="002060"/>
        </w:rPr>
        <w:t xml:space="preserve"> Nam and Israel (</w:t>
      </w:r>
      <w:proofErr w:type="spellStart"/>
      <w:r w:rsidRPr="00482C88">
        <w:rPr>
          <w:rFonts w:ascii="Aptos" w:eastAsia="Times New Roman" w:hAnsi="Aptos" w:cs="Segoe UI"/>
          <w:color w:val="002060"/>
        </w:rPr>
        <w:t>VIFTA</w:t>
      </w:r>
      <w:proofErr w:type="spellEnd"/>
      <w:r w:rsidRPr="00482C88">
        <w:rPr>
          <w:rFonts w:ascii="Aptos" w:eastAsia="Times New Roman" w:hAnsi="Aptos" w:cs="Segoe UI"/>
          <w:color w:val="002060"/>
        </w:rPr>
        <w:t>), aiming to ensure the agreement is carried out fully and effectively.</w:t>
      </w:r>
    </w:p>
    <w:p w14:paraId="7AA55ECD" w14:textId="77777777" w:rsidR="00482C8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Key tasks include stepping up communication and dissemination of information on </w:t>
      </w:r>
      <w:proofErr w:type="spellStart"/>
      <w:r w:rsidRPr="00482C88">
        <w:rPr>
          <w:rFonts w:ascii="Aptos" w:eastAsia="Times New Roman" w:hAnsi="Aptos" w:cs="Segoe UI"/>
          <w:color w:val="002060"/>
        </w:rPr>
        <w:t>VIFTA</w:t>
      </w:r>
      <w:proofErr w:type="spellEnd"/>
      <w:r w:rsidRPr="00482C88">
        <w:rPr>
          <w:rFonts w:ascii="Aptos" w:eastAsia="Times New Roman" w:hAnsi="Aptos" w:cs="Segoe UI"/>
          <w:color w:val="002060"/>
        </w:rPr>
        <w:t xml:space="preserve"> among central and local authorities, business associations, cooperatives and the business community through mass media, official portals, publications, radio and television </w:t>
      </w:r>
      <w:proofErr w:type="spellStart"/>
      <w:r w:rsidRPr="00482C88">
        <w:rPr>
          <w:rFonts w:ascii="Aptos" w:eastAsia="Times New Roman" w:hAnsi="Aptos" w:cs="Segoe UI"/>
          <w:color w:val="002060"/>
        </w:rPr>
        <w:t>programmes</w:t>
      </w:r>
      <w:proofErr w:type="spellEnd"/>
      <w:r w:rsidRPr="00482C88">
        <w:rPr>
          <w:rFonts w:ascii="Aptos" w:eastAsia="Times New Roman" w:hAnsi="Aptos" w:cs="Segoe UI"/>
          <w:color w:val="002060"/>
        </w:rPr>
        <w:t>, training courses and seminars. These efforts are intended to raise awareness and understanding of the agreement’s commitments and implementation requirements.</w:t>
      </w:r>
    </w:p>
    <w:p w14:paraId="3532D2B0" w14:textId="77777777" w:rsidR="00482C8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Training will also be strengthened for State management officials and enterprises in areas such as taxation, rules of origin, access to the Israeli market, investment, services, customs procedures, government procurement, trade remedies and technical trade barriers. This will help ensure accurate understanding and effective </w:t>
      </w:r>
      <w:proofErr w:type="spellStart"/>
      <w:r w:rsidRPr="00482C88">
        <w:rPr>
          <w:rFonts w:ascii="Aptos" w:eastAsia="Times New Roman" w:hAnsi="Aptos" w:cs="Segoe UI"/>
          <w:color w:val="002060"/>
        </w:rPr>
        <w:t>utilisation</w:t>
      </w:r>
      <w:proofErr w:type="spellEnd"/>
      <w:r w:rsidRPr="00482C88">
        <w:rPr>
          <w:rFonts w:ascii="Aptos" w:eastAsia="Times New Roman" w:hAnsi="Aptos" w:cs="Segoe UI"/>
          <w:color w:val="002060"/>
        </w:rPr>
        <w:t xml:space="preserve"> of the agreement.</w:t>
      </w:r>
    </w:p>
    <w:p w14:paraId="79C97949" w14:textId="77777777" w:rsidR="00482C8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An information focal point on </w:t>
      </w:r>
      <w:proofErr w:type="spellStart"/>
      <w:r w:rsidRPr="00482C88">
        <w:rPr>
          <w:rFonts w:ascii="Aptos" w:eastAsia="Times New Roman" w:hAnsi="Aptos" w:cs="Segoe UI"/>
          <w:color w:val="002060"/>
        </w:rPr>
        <w:t>VIFTA</w:t>
      </w:r>
      <w:proofErr w:type="spellEnd"/>
      <w:r w:rsidRPr="00482C88">
        <w:rPr>
          <w:rFonts w:ascii="Aptos" w:eastAsia="Times New Roman" w:hAnsi="Aptos" w:cs="Segoe UI"/>
          <w:color w:val="002060"/>
        </w:rPr>
        <w:t xml:space="preserve"> will be established at the Ministry of Industry and Trade to provide guidance, clarify commitments and address related issues. At the same time, </w:t>
      </w:r>
      <w:proofErr w:type="spellStart"/>
      <w:r w:rsidRPr="00482C88">
        <w:rPr>
          <w:rFonts w:ascii="Aptos" w:eastAsia="Times New Roman" w:hAnsi="Aptos" w:cs="Segoe UI"/>
          <w:color w:val="002060"/>
        </w:rPr>
        <w:t>Việt</w:t>
      </w:r>
      <w:proofErr w:type="spellEnd"/>
      <w:r w:rsidRPr="00482C88">
        <w:rPr>
          <w:rFonts w:ascii="Aptos" w:eastAsia="Times New Roman" w:hAnsi="Aptos" w:cs="Segoe UI"/>
          <w:color w:val="002060"/>
        </w:rPr>
        <w:t xml:space="preserve"> Nam will reinforce information networks, improve capacity and enhance market intelligence and forecasting on Israel and the domestic market, enabling Vietnamese enterprises to keep abreast of technical requirements and import-export regulations in Israel.</w:t>
      </w:r>
    </w:p>
    <w:p w14:paraId="413ECD12" w14:textId="77777777" w:rsidR="00482C8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The plan also calls for stronger trade and investment promotion activities in Israel to inform Israeli businesses about </w:t>
      </w:r>
      <w:proofErr w:type="spellStart"/>
      <w:r w:rsidRPr="00482C88">
        <w:rPr>
          <w:rFonts w:ascii="Aptos" w:eastAsia="Times New Roman" w:hAnsi="Aptos" w:cs="Segoe UI"/>
          <w:color w:val="002060"/>
        </w:rPr>
        <w:t>Việt</w:t>
      </w:r>
      <w:proofErr w:type="spellEnd"/>
      <w:r w:rsidRPr="00482C88">
        <w:rPr>
          <w:rFonts w:ascii="Aptos" w:eastAsia="Times New Roman" w:hAnsi="Aptos" w:cs="Segoe UI"/>
          <w:color w:val="002060"/>
        </w:rPr>
        <w:t xml:space="preserve"> Nam’s investment climate and advantages, thereby expanding bilateral trade ties, attracting foreign investment into priority sectors and promoting Vietnamese goods to Israeli consumers and importers.</w:t>
      </w:r>
    </w:p>
    <w:p w14:paraId="214E0694" w14:textId="77777777" w:rsidR="00482C8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In addition, relevant ministries and sectors will continue reviewing the legal framework during implementation and propose amendments or supplements to ensure consistency with </w:t>
      </w:r>
      <w:proofErr w:type="spellStart"/>
      <w:r w:rsidRPr="00482C88">
        <w:rPr>
          <w:rFonts w:ascii="Aptos" w:eastAsia="Times New Roman" w:hAnsi="Aptos" w:cs="Segoe UI"/>
          <w:color w:val="002060"/>
        </w:rPr>
        <w:t>VIFTA</w:t>
      </w:r>
      <w:proofErr w:type="spellEnd"/>
      <w:r w:rsidRPr="00482C88">
        <w:rPr>
          <w:rFonts w:ascii="Aptos" w:eastAsia="Times New Roman" w:hAnsi="Aptos" w:cs="Segoe UI"/>
          <w:color w:val="002060"/>
        </w:rPr>
        <w:t xml:space="preserve"> commitments, in line with the agreed roadmap. Necessary institutional arrangements will be completed, including the designation of national and sectoral focal points, participation in the </w:t>
      </w:r>
      <w:proofErr w:type="spellStart"/>
      <w:r w:rsidRPr="00482C88">
        <w:rPr>
          <w:rFonts w:ascii="Aptos" w:eastAsia="Times New Roman" w:hAnsi="Aptos" w:cs="Segoe UI"/>
          <w:color w:val="002060"/>
        </w:rPr>
        <w:t>VIFTA</w:t>
      </w:r>
      <w:proofErr w:type="spellEnd"/>
      <w:r w:rsidRPr="00482C88">
        <w:rPr>
          <w:rFonts w:ascii="Aptos" w:eastAsia="Times New Roman" w:hAnsi="Aptos" w:cs="Segoe UI"/>
          <w:color w:val="002060"/>
        </w:rPr>
        <w:t xml:space="preserve"> Joint Committee and subcommittees, coordination of technical assistance from Israel, and fulfilment of notification obligations.</w:t>
      </w:r>
    </w:p>
    <w:p w14:paraId="7367D72C" w14:textId="31707CA1" w:rsidR="00591378" w:rsidRPr="00482C88" w:rsidRDefault="00482C88" w:rsidP="00482C88">
      <w:pPr>
        <w:spacing w:after="450" w:line="288" w:lineRule="auto"/>
        <w:jc w:val="both"/>
        <w:rPr>
          <w:rFonts w:ascii="Aptos" w:eastAsia="Times New Roman" w:hAnsi="Aptos" w:cs="Segoe UI"/>
          <w:color w:val="002060"/>
        </w:rPr>
      </w:pPr>
      <w:r w:rsidRPr="00482C88">
        <w:rPr>
          <w:rFonts w:ascii="Aptos" w:eastAsia="Times New Roman" w:hAnsi="Aptos" w:cs="Segoe UI"/>
          <w:color w:val="002060"/>
        </w:rPr>
        <w:t xml:space="preserve">Support </w:t>
      </w:r>
      <w:proofErr w:type="spellStart"/>
      <w:r w:rsidRPr="00482C88">
        <w:rPr>
          <w:rFonts w:ascii="Aptos" w:eastAsia="Times New Roman" w:hAnsi="Aptos" w:cs="Segoe UI"/>
          <w:color w:val="002060"/>
        </w:rPr>
        <w:t>programmes</w:t>
      </w:r>
      <w:proofErr w:type="spellEnd"/>
      <w:r w:rsidRPr="00482C88">
        <w:rPr>
          <w:rFonts w:ascii="Aptos" w:eastAsia="Times New Roman" w:hAnsi="Aptos" w:cs="Segoe UI"/>
          <w:color w:val="002060"/>
        </w:rPr>
        <w:t xml:space="preserve"> will be developed to enhance the competitiveness of industries and enterprises, particularly micro, small, and medium-sized firms and start-ups, while response measures will be prepared for sectors directly affected by the agreement. </w:t>
      </w:r>
      <w:proofErr w:type="spellStart"/>
      <w:r w:rsidRPr="00482C88">
        <w:rPr>
          <w:rFonts w:ascii="Aptos" w:eastAsia="Times New Roman" w:hAnsi="Aptos" w:cs="Segoe UI"/>
          <w:color w:val="002060"/>
        </w:rPr>
        <w:t>Việt</w:t>
      </w:r>
      <w:proofErr w:type="spellEnd"/>
      <w:r w:rsidRPr="00482C88">
        <w:rPr>
          <w:rFonts w:ascii="Aptos" w:eastAsia="Times New Roman" w:hAnsi="Aptos" w:cs="Segoe UI"/>
          <w:color w:val="002060"/>
        </w:rPr>
        <w:t xml:space="preserve"> Nam will also promote links between domestic enterprises and Israeli-invested firms to integrate into production networks and supply chains, advance mutual recognition of conformity assessment results, and support Vietnamese exporters in meeting Israel’s specific standards, including Halal requirements. </w:t>
      </w:r>
    </w:p>
    <w:bookmarkStart w:id="643" w:name="_Toc192767033"/>
    <w:bookmarkStart w:id="644" w:name="_Toc193361541"/>
    <w:bookmarkStart w:id="645" w:name="_Toc193977732"/>
    <w:bookmarkStart w:id="646" w:name="_Toc194671397"/>
    <w:bookmarkStart w:id="647" w:name="_Toc195192232"/>
    <w:bookmarkStart w:id="648" w:name="_Toc195795575"/>
    <w:bookmarkStart w:id="649" w:name="_Toc196395801"/>
    <w:bookmarkStart w:id="650" w:name="_Toc197596761"/>
    <w:bookmarkStart w:id="651" w:name="_Toc198210648"/>
    <w:bookmarkStart w:id="652" w:name="_Toc198816031"/>
    <w:bookmarkStart w:id="653" w:name="_Toc199419427"/>
    <w:bookmarkStart w:id="654" w:name="_Toc200013599"/>
    <w:bookmarkStart w:id="655" w:name="_Toc200628575"/>
    <w:bookmarkStart w:id="656" w:name="_Toc201837358"/>
    <w:bookmarkStart w:id="657" w:name="_Toc202445693"/>
    <w:bookmarkStart w:id="658" w:name="_Toc203047559"/>
    <w:bookmarkStart w:id="659" w:name="_Toc203655863"/>
    <w:bookmarkStart w:id="660" w:name="_Toc204262801"/>
    <w:bookmarkStart w:id="661" w:name="_Toc204862959"/>
    <w:bookmarkStart w:id="662" w:name="_Toc205466588"/>
    <w:bookmarkStart w:id="663" w:name="_Toc206074506"/>
    <w:bookmarkStart w:id="664" w:name="_Toc207184398"/>
    <w:bookmarkStart w:id="665" w:name="_Toc207888604"/>
    <w:bookmarkStart w:id="666" w:name="_Toc208493627"/>
    <w:bookmarkStart w:id="667" w:name="_Toc208493705"/>
    <w:p w14:paraId="1D6A4636" w14:textId="0CA30372" w:rsidR="00304B3D" w:rsidRDefault="00935517" w:rsidP="00304B3D">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304B3D"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91104CF" w14:textId="77777777" w:rsidR="002A02C8" w:rsidRPr="004C6CBE" w:rsidRDefault="002A02C8" w:rsidP="00EA3310">
      <w:pPr>
        <w:pStyle w:val="Heading1"/>
        <w:rPr>
          <w:rFonts w:ascii="Aptos" w:eastAsia="Malgun Gothic" w:hAnsi="Aptos" w:cs="Times New Roman"/>
          <w:color w:val="002060"/>
        </w:rPr>
      </w:pPr>
    </w:p>
    <w:p w14:paraId="5D7C6CC7" w14:textId="77777777" w:rsidR="00350458" w:rsidRDefault="00350458" w:rsidP="004F381D">
      <w:pPr>
        <w:pStyle w:val="Heading1"/>
        <w:shd w:val="clear" w:color="auto" w:fill="FFFFFF"/>
        <w:spacing w:before="0" w:line="288" w:lineRule="atLeast"/>
        <w:rPr>
          <w:rFonts w:ascii="Aptos" w:eastAsia="Malgun Gothic" w:hAnsi="Aptos" w:cs="Times New Roman"/>
          <w:color w:val="002060"/>
        </w:rPr>
      </w:pPr>
      <w:bookmarkStart w:id="668" w:name="_Toc209099449"/>
      <w:bookmarkStart w:id="669" w:name="_Toc209702677"/>
      <w:bookmarkStart w:id="670" w:name="_Toc210305241"/>
      <w:bookmarkStart w:id="671" w:name="_Toc210911919"/>
      <w:bookmarkStart w:id="672" w:name="_Toc210912011"/>
      <w:bookmarkStart w:id="673" w:name="_Toc211518242"/>
      <w:bookmarkStart w:id="674" w:name="_Toc212118923"/>
      <w:bookmarkStart w:id="675" w:name="_Toc212726918"/>
      <w:bookmarkStart w:id="676" w:name="_Toc213334254"/>
      <w:bookmarkStart w:id="677" w:name="_Toc213924603"/>
      <w:bookmarkStart w:id="678" w:name="_Toc214539945"/>
      <w:bookmarkStart w:id="679" w:name="_Toc215144380"/>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80" w:name="_Toc215750958"/>
      <w:bookmarkStart w:id="681" w:name="_Toc216355054"/>
      <w:bookmarkStart w:id="682" w:name="_Toc216965802"/>
      <w:bookmarkStart w:id="683" w:name="_Toc217639126"/>
      <w:bookmarkStart w:id="684" w:name="_Toc218772677"/>
      <w:r w:rsidRPr="004C6CBE">
        <w:rPr>
          <w:rFonts w:ascii="Aptos" w:eastAsia="Malgun Gothic" w:hAnsi="Aptos" w:cs="Times New Roman"/>
          <w:color w:val="002060"/>
        </w:rPr>
        <w:t>INVESTMENT</w:t>
      </w:r>
      <w:bookmarkStart w:id="685" w:name="_Toc85726063"/>
      <w:bookmarkStart w:id="686" w:name="_Toc432151524"/>
      <w:bookmarkStart w:id="687" w:name="_Toc432755907"/>
      <w:bookmarkStart w:id="688" w:name="_Toc433361380"/>
      <w:bookmarkStart w:id="689" w:name="_Toc433965278"/>
      <w:bookmarkStart w:id="690" w:name="_Toc434571316"/>
      <w:bookmarkStart w:id="691" w:name="_Toc435172624"/>
      <w:bookmarkStart w:id="692" w:name="_Toc435779449"/>
      <w:bookmarkStart w:id="693" w:name="_Toc436380890"/>
      <w:bookmarkStart w:id="694" w:name="_Toc436991379"/>
      <w:bookmarkStart w:id="695" w:name="_Toc437595402"/>
      <w:bookmarkStart w:id="696" w:name="_Toc440013654"/>
      <w:bookmarkStart w:id="697" w:name="_Toc440621866"/>
      <w:bookmarkStart w:id="698" w:name="_Toc441223776"/>
      <w:bookmarkStart w:id="699" w:name="_Toc441828302"/>
      <w:bookmarkStart w:id="700" w:name="_Toc441828397"/>
      <w:bookmarkStart w:id="701" w:name="_Toc442344478"/>
      <w:bookmarkStart w:id="702" w:name="_Toc443643410"/>
      <w:bookmarkStart w:id="703" w:name="_Toc444246121"/>
      <w:bookmarkStart w:id="704" w:name="_Toc444852043"/>
      <w:bookmarkStart w:id="705" w:name="_Toc445456104"/>
      <w:bookmarkStart w:id="706" w:name="_Toc445973470"/>
      <w:bookmarkStart w:id="707" w:name="_Toc446664823"/>
      <w:bookmarkStart w:id="708" w:name="_Toc447269375"/>
      <w:bookmarkStart w:id="709" w:name="_Toc447874150"/>
      <w:bookmarkStart w:id="710" w:name="_Toc448482080"/>
      <w:bookmarkStart w:id="711" w:name="_Toc449082188"/>
      <w:bookmarkStart w:id="712" w:name="_Toc449689091"/>
      <w:bookmarkStart w:id="713" w:name="_Toc450293029"/>
      <w:bookmarkStart w:id="714" w:name="_Toc450896941"/>
      <w:bookmarkStart w:id="715" w:name="_Toc452625639"/>
      <w:bookmarkStart w:id="716" w:name="_Toc453317635"/>
      <w:bookmarkStart w:id="717" w:name="_Toc453921139"/>
      <w:bookmarkStart w:id="718" w:name="_Toc454525843"/>
      <w:bookmarkStart w:id="719" w:name="_Toc455664220"/>
      <w:bookmarkStart w:id="720" w:name="_Toc456342934"/>
      <w:bookmarkStart w:id="721" w:name="_Toc456948592"/>
      <w:bookmarkStart w:id="722" w:name="_Toc457551652"/>
      <w:bookmarkStart w:id="723" w:name="_Toc458760438"/>
      <w:bookmarkStart w:id="724" w:name="_Toc459970961"/>
      <w:bookmarkStart w:id="725" w:name="_Toc460493837"/>
      <w:bookmarkStart w:id="726" w:name="_Toc461091259"/>
      <w:bookmarkStart w:id="727" w:name="_Toc461785962"/>
      <w:bookmarkStart w:id="728" w:name="_Toc462393216"/>
      <w:bookmarkStart w:id="729" w:name="_Toc462996392"/>
      <w:bookmarkStart w:id="730" w:name="_Toc463600474"/>
      <w:bookmarkStart w:id="731" w:name="_Toc464205360"/>
      <w:bookmarkStart w:id="732" w:name="_Toc464808172"/>
      <w:bookmarkStart w:id="733" w:name="_Toc465341592"/>
      <w:bookmarkStart w:id="734" w:name="_Toc466017257"/>
      <w:bookmarkStart w:id="735" w:name="_Toc466625785"/>
      <w:bookmarkStart w:id="736" w:name="_Toc467231588"/>
      <w:bookmarkStart w:id="737" w:name="_Toc467832927"/>
      <w:bookmarkStart w:id="738" w:name="_Toc468440613"/>
      <w:bookmarkStart w:id="739" w:name="_Toc469043514"/>
      <w:bookmarkStart w:id="740" w:name="_Toc469650545"/>
      <w:bookmarkStart w:id="741" w:name="_Toc472071555"/>
      <w:bookmarkStart w:id="742" w:name="_Toc472672621"/>
      <w:bookmarkStart w:id="743" w:name="_Toc473881019"/>
      <w:bookmarkStart w:id="744" w:name="_Toc474487615"/>
      <w:bookmarkStart w:id="745" w:name="_Toc475090270"/>
      <w:bookmarkStart w:id="746" w:name="_Toc475697896"/>
      <w:bookmarkStart w:id="747" w:name="_Toc476302021"/>
      <w:bookmarkStart w:id="748" w:name="_Toc476906662"/>
      <w:bookmarkStart w:id="749" w:name="_Toc28949355"/>
      <w:bookmarkStart w:id="750" w:name="_Toc29553162"/>
      <w:bookmarkStart w:id="751" w:name="_Toc31365283"/>
      <w:bookmarkStart w:id="752" w:name="_Toc31968689"/>
      <w:bookmarkStart w:id="753" w:name="_Toc33177778"/>
      <w:bookmarkStart w:id="754" w:name="_Toc33784203"/>
      <w:bookmarkStart w:id="755" w:name="_Toc34387338"/>
      <w:bookmarkStart w:id="756" w:name="_Toc34992454"/>
      <w:bookmarkStart w:id="757" w:name="_Toc36200907"/>
      <w:bookmarkStart w:id="758" w:name="_Toc36804868"/>
      <w:bookmarkStart w:id="759" w:name="_Toc37412097"/>
      <w:bookmarkStart w:id="760" w:name="_Toc38016891"/>
      <w:bookmarkStart w:id="761" w:name="_Toc38623247"/>
      <w:bookmarkStart w:id="762" w:name="_Toc47007110"/>
      <w:bookmarkStart w:id="763" w:name="_Toc47608053"/>
      <w:bookmarkStart w:id="764" w:name="_Toc48219511"/>
      <w:bookmarkStart w:id="765" w:name="_Toc48816714"/>
      <w:bookmarkStart w:id="766" w:name="_Toc49427955"/>
      <w:bookmarkStart w:id="767" w:name="_Toc50027104"/>
      <w:bookmarkStart w:id="768" w:name="_Toc50638513"/>
      <w:bookmarkStart w:id="769" w:name="_Toc51235703"/>
      <w:bookmarkStart w:id="770" w:name="_Toc51848409"/>
      <w:bookmarkStart w:id="771" w:name="_Toc52453555"/>
      <w:bookmarkStart w:id="772" w:name="_Toc53055806"/>
      <w:bookmarkStart w:id="773" w:name="_Toc53660727"/>
      <w:bookmarkStart w:id="774" w:name="_Toc54259226"/>
      <w:bookmarkStart w:id="775" w:name="_Toc54865641"/>
      <w:bookmarkStart w:id="776" w:name="_Toc55477670"/>
      <w:bookmarkStart w:id="777" w:name="_Toc56073558"/>
      <w:bookmarkStart w:id="778" w:name="_Toc56678766"/>
      <w:bookmarkStart w:id="779" w:name="_Toc57284477"/>
      <w:bookmarkStart w:id="780" w:name="_Toc57895625"/>
      <w:bookmarkStart w:id="781" w:name="_Toc58494291"/>
      <w:bookmarkStart w:id="782" w:name="_Toc59104493"/>
      <w:bookmarkStart w:id="783" w:name="_Toc60922251"/>
      <w:bookmarkStart w:id="784" w:name="_Toc61518219"/>
      <w:bookmarkStart w:id="785" w:name="_Toc62129063"/>
      <w:bookmarkStart w:id="786" w:name="_Toc62734941"/>
      <w:bookmarkStart w:id="787" w:name="_Toc63333216"/>
      <w:bookmarkStart w:id="788" w:name="_Toc65152053"/>
      <w:bookmarkStart w:id="789" w:name="_Toc65759405"/>
      <w:bookmarkStart w:id="790" w:name="_Toc66363544"/>
      <w:bookmarkStart w:id="791" w:name="_Toc66960052"/>
      <w:bookmarkStart w:id="792" w:name="_Toc67652149"/>
      <w:bookmarkStart w:id="793" w:name="_Toc68179924"/>
      <w:bookmarkStart w:id="794" w:name="_Toc68774151"/>
      <w:bookmarkStart w:id="795" w:name="_Toc69386918"/>
      <w:bookmarkStart w:id="796" w:name="_Toc69991772"/>
      <w:bookmarkStart w:id="797" w:name="_Toc70509844"/>
      <w:bookmarkStart w:id="798" w:name="_Toc71207400"/>
      <w:bookmarkStart w:id="799" w:name="_Toc71799309"/>
      <w:bookmarkStart w:id="800" w:name="_Toc72414979"/>
      <w:bookmarkStart w:id="801" w:name="_Toc73015458"/>
      <w:bookmarkStart w:id="802" w:name="_Toc73618181"/>
      <w:bookmarkStart w:id="803" w:name="_Toc74224515"/>
      <w:bookmarkStart w:id="804" w:name="_Toc74836034"/>
      <w:bookmarkStart w:id="805" w:name="_Toc75439627"/>
      <w:bookmarkStart w:id="806" w:name="_Toc76033393"/>
      <w:bookmarkStart w:id="807" w:name="_Toc76568187"/>
      <w:bookmarkStart w:id="808" w:name="_Toc7724982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9E2EAA3" w14:textId="77777777" w:rsidR="007D1B3B" w:rsidRDefault="007D1B3B" w:rsidP="007D1B3B">
      <w:pPr>
        <w:spacing w:after="161" w:line="240" w:lineRule="auto"/>
        <w:outlineLvl w:val="0"/>
        <w:rPr>
          <w:rFonts w:ascii="Times New Roman" w:eastAsia="Times New Roman" w:hAnsi="Times New Roman" w:cs="Times New Roman"/>
          <w:color w:val="000000"/>
          <w:kern w:val="36"/>
          <w:sz w:val="45"/>
          <w:szCs w:val="45"/>
        </w:rPr>
      </w:pPr>
    </w:p>
    <w:p w14:paraId="2A7CFCE9" w14:textId="4CCF5B00" w:rsidR="009C70BE" w:rsidRPr="009C70BE" w:rsidRDefault="009C70BE" w:rsidP="007D1B3B">
      <w:pPr>
        <w:spacing w:after="161" w:line="288" w:lineRule="auto"/>
        <w:jc w:val="both"/>
        <w:outlineLvl w:val="0"/>
        <w:rPr>
          <w:rFonts w:ascii="Aptos" w:eastAsia="Times New Roman" w:hAnsi="Aptos" w:cs="Times New Roman"/>
          <w:b/>
          <w:bCs/>
          <w:color w:val="002060"/>
          <w:kern w:val="36"/>
          <w:sz w:val="28"/>
          <w:szCs w:val="28"/>
        </w:rPr>
      </w:pPr>
      <w:bookmarkStart w:id="809" w:name="_Toc218772678"/>
      <w:proofErr w:type="spellStart"/>
      <w:r w:rsidRPr="009C70BE">
        <w:rPr>
          <w:rFonts w:ascii="Aptos" w:eastAsia="Times New Roman" w:hAnsi="Aptos" w:cs="Times New Roman"/>
          <w:b/>
          <w:bCs/>
          <w:color w:val="002060"/>
          <w:kern w:val="36"/>
          <w:sz w:val="28"/>
          <w:szCs w:val="28"/>
        </w:rPr>
        <w:t>FDI</w:t>
      </w:r>
      <w:proofErr w:type="spellEnd"/>
      <w:r w:rsidRPr="009C70BE">
        <w:rPr>
          <w:rFonts w:ascii="Aptos" w:eastAsia="Times New Roman" w:hAnsi="Aptos" w:cs="Times New Roman"/>
          <w:b/>
          <w:bCs/>
          <w:color w:val="002060"/>
          <w:kern w:val="36"/>
          <w:sz w:val="28"/>
          <w:szCs w:val="28"/>
        </w:rPr>
        <w:t xml:space="preserve"> inflows reach $38.42 billion in 2025</w:t>
      </w:r>
      <w:bookmarkEnd w:id="809"/>
    </w:p>
    <w:p w14:paraId="74997206" w14:textId="7A4F3C75" w:rsidR="009C70BE" w:rsidRPr="007D1B3B" w:rsidRDefault="007D1B3B" w:rsidP="007D1B3B">
      <w:pPr>
        <w:spacing w:after="150" w:line="288" w:lineRule="auto"/>
        <w:jc w:val="both"/>
        <w:rPr>
          <w:rFonts w:ascii="Aptos" w:eastAsia="Times New Roman" w:hAnsi="Aptos" w:cs="Times New Roman"/>
          <w:i/>
          <w:iCs/>
          <w:color w:val="002060"/>
          <w:sz w:val="18"/>
          <w:szCs w:val="18"/>
        </w:rPr>
      </w:pPr>
      <w:r w:rsidRPr="007D1B3B">
        <w:rPr>
          <w:rFonts w:ascii="Aptos" w:eastAsia="Times New Roman" w:hAnsi="Aptos" w:cs="Times New Roman"/>
          <w:i/>
          <w:iCs/>
          <w:color w:val="002060"/>
          <w:sz w:val="18"/>
          <w:szCs w:val="18"/>
        </w:rPr>
        <w:t>VIR</w:t>
      </w:r>
    </w:p>
    <w:p w14:paraId="11E395B3" w14:textId="77777777" w:rsidR="007D1B3B" w:rsidRDefault="007D1B3B" w:rsidP="007D1B3B">
      <w:pPr>
        <w:spacing w:after="150" w:line="288" w:lineRule="auto"/>
        <w:jc w:val="both"/>
        <w:rPr>
          <w:rFonts w:ascii="Aptos" w:eastAsia="Times New Roman" w:hAnsi="Aptos" w:cs="Times New Roman"/>
          <w:color w:val="002060"/>
        </w:rPr>
      </w:pPr>
    </w:p>
    <w:p w14:paraId="3DB8594D" w14:textId="5C7F1208" w:rsidR="009C70BE" w:rsidRPr="009C70BE" w:rsidRDefault="009C70BE" w:rsidP="007D1B3B">
      <w:pPr>
        <w:spacing w:after="150" w:line="288" w:lineRule="auto"/>
        <w:jc w:val="both"/>
        <w:rPr>
          <w:rFonts w:ascii="Aptos" w:eastAsia="Times New Roman" w:hAnsi="Aptos" w:cs="Times New Roman"/>
          <w:color w:val="002060"/>
        </w:rPr>
      </w:pPr>
      <w:r w:rsidRPr="009C70BE">
        <w:rPr>
          <w:rFonts w:ascii="Aptos" w:eastAsia="Times New Roman" w:hAnsi="Aptos" w:cs="Times New Roman"/>
          <w:color w:val="002060"/>
        </w:rPr>
        <w:t>Along with high registered foreign direct investment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in 2025, disbursement also reported a peak of $27.62 billion, up 9 per cent on-year.</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7D1B3B" w:rsidRPr="009C70BE" w14:paraId="04C2FC8E" w14:textId="77777777" w:rsidTr="009C70BE">
        <w:tc>
          <w:tcPr>
            <w:tcW w:w="0" w:type="auto"/>
            <w:tcMar>
              <w:top w:w="0" w:type="dxa"/>
              <w:left w:w="0" w:type="dxa"/>
              <w:bottom w:w="0" w:type="dxa"/>
              <w:right w:w="0" w:type="dxa"/>
            </w:tcMar>
            <w:vAlign w:val="center"/>
            <w:hideMark/>
          </w:tcPr>
          <w:p w14:paraId="6446A208" w14:textId="32143281" w:rsidR="009C70BE" w:rsidRPr="009C70BE" w:rsidRDefault="009C70BE" w:rsidP="007D1B3B">
            <w:pPr>
              <w:spacing w:after="225" w:line="288" w:lineRule="auto"/>
              <w:jc w:val="both"/>
              <w:rPr>
                <w:rFonts w:ascii="Aptos" w:eastAsia="Times New Roman" w:hAnsi="Aptos" w:cs="Times New Roman"/>
                <w:color w:val="002060"/>
              </w:rPr>
            </w:pPr>
          </w:p>
        </w:tc>
      </w:tr>
    </w:tbl>
    <w:p w14:paraId="475F796D"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According to the Foreign Investment Agency under the Ministry of Finance, as of December 31, total registered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xml:space="preserve"> had reached $38.42 billion, up 0.5 per cent on-year.</w:t>
      </w:r>
    </w:p>
    <w:p w14:paraId="34C21A06"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While registered capital saw only a modest increase, disbursed capital hit a record high at $27.62 billion, up 9 per cent from the previous year. This was the highest level of </w:t>
      </w:r>
      <w:proofErr w:type="spellStart"/>
      <w:r w:rsidRPr="009C70BE">
        <w:rPr>
          <w:rFonts w:ascii="Aptos" w:eastAsia="Times New Roman" w:hAnsi="Aptos" w:cs="Times New Roman"/>
          <w:color w:val="002060"/>
        </w:rPr>
        <w:t>realised</w:t>
      </w:r>
      <w:proofErr w:type="spellEnd"/>
      <w:r w:rsidRPr="009C70BE">
        <w:rPr>
          <w:rFonts w:ascii="Aptos" w:eastAsia="Times New Roman" w:hAnsi="Aptos" w:cs="Times New Roman"/>
          <w:color w:val="002060"/>
        </w:rPr>
        <w:t xml:space="preserve">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xml:space="preserve"> in the past five years. Disbursed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xml:space="preserve"> stood at $25.35 billion last year, $23.18 billion in 2023, $22.4 billion in 2022, and $19.74 billion in 2021.</w:t>
      </w:r>
    </w:p>
    <w:p w14:paraId="156D2057"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Of the $27.62 billion, the manufacturing and processing sector accounted for $22.88 billion, or 82.8 per cent of total </w:t>
      </w:r>
      <w:proofErr w:type="spellStart"/>
      <w:r w:rsidRPr="009C70BE">
        <w:rPr>
          <w:rFonts w:ascii="Aptos" w:eastAsia="Times New Roman" w:hAnsi="Aptos" w:cs="Times New Roman"/>
          <w:color w:val="002060"/>
        </w:rPr>
        <w:t>realised</w:t>
      </w:r>
      <w:proofErr w:type="spellEnd"/>
      <w:r w:rsidRPr="009C70BE">
        <w:rPr>
          <w:rFonts w:ascii="Aptos" w:eastAsia="Times New Roman" w:hAnsi="Aptos" w:cs="Times New Roman"/>
          <w:color w:val="002060"/>
        </w:rPr>
        <w:t xml:space="preserve">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real estate activities reached $1.93 billion, or 7 per cent; and electricity, gas, hot water, steam, and air conditioning supply totaled $914.9 million, or 3.3 per cent.</w:t>
      </w:r>
    </w:p>
    <w:p w14:paraId="167E5A03"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Manufacturing and processing also attracted the largest amount of newly registered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w:t>
      </w:r>
    </w:p>
    <w:p w14:paraId="084FE59B"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Of the total registered foreign investment of $38.42 billion in 2025, newly registered capital amounted to $17.32 billion from 4,054 projects, down 12.2 per cent in value but up 20.1 per cent in the number of projects compared with the previous year.</w:t>
      </w:r>
    </w:p>
    <w:p w14:paraId="7C282DD7"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Among these, manufacturing and processing received the largest volume of newly licensed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with registered capital of $9.8 billion, accounting for 56.5 per cent; real estate activities attracted $3.67 billion, or 21.2 per cent; while other sectors received $3.85 billion, or 22.2 per cent.</w:t>
      </w:r>
    </w:p>
    <w:p w14:paraId="2C739CB3"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In addition, in 2025 there were 1,404 instances of projects registering capital adjustments, with total additional capital of $14.07 billion, up 0.8 per cent on-year.</w:t>
      </w:r>
    </w:p>
    <w:p w14:paraId="6A4F41C9" w14:textId="77777777" w:rsidR="009C70BE" w:rsidRPr="009C70BE" w:rsidRDefault="009C70BE" w:rsidP="007D1B3B">
      <w:pPr>
        <w:spacing w:after="225" w:line="288" w:lineRule="auto"/>
        <w:jc w:val="both"/>
        <w:rPr>
          <w:rFonts w:ascii="Aptos" w:eastAsia="Times New Roman" w:hAnsi="Aptos" w:cs="Times New Roman"/>
          <w:color w:val="002060"/>
        </w:rPr>
      </w:pPr>
      <w:proofErr w:type="gramStart"/>
      <w:r w:rsidRPr="009C70BE">
        <w:rPr>
          <w:rFonts w:ascii="Aptos" w:eastAsia="Times New Roman" w:hAnsi="Aptos" w:cs="Times New Roman"/>
          <w:color w:val="002060"/>
        </w:rPr>
        <w:t>Taking into account</w:t>
      </w:r>
      <w:proofErr w:type="gramEnd"/>
      <w:r w:rsidRPr="009C70BE">
        <w:rPr>
          <w:rFonts w:ascii="Aptos" w:eastAsia="Times New Roman" w:hAnsi="Aptos" w:cs="Times New Roman"/>
          <w:color w:val="002060"/>
        </w:rPr>
        <w:t xml:space="preserve"> both newly registered capital and additional capital for previously licensed projects, registered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xml:space="preserve"> in manufacturing and processing reached $18.59 billion, accounting for 59.2 per cent of total newly registered and additional capital; real estate activities amounted to $6.26 billion, or 19.9 per cent; and other sectors reached $6.54 billion, or 20.9 per cent.</w:t>
      </w:r>
    </w:p>
    <w:p w14:paraId="7D9BB626"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Meanwhile, </w:t>
      </w:r>
      <w:proofErr w:type="spellStart"/>
      <w:r w:rsidRPr="009C70BE">
        <w:rPr>
          <w:rFonts w:ascii="Aptos" w:eastAsia="Times New Roman" w:hAnsi="Aptos" w:cs="Times New Roman"/>
          <w:color w:val="002060"/>
        </w:rPr>
        <w:t>FDI</w:t>
      </w:r>
      <w:proofErr w:type="spellEnd"/>
      <w:r w:rsidRPr="009C70BE">
        <w:rPr>
          <w:rFonts w:ascii="Aptos" w:eastAsia="Times New Roman" w:hAnsi="Aptos" w:cs="Times New Roman"/>
          <w:color w:val="002060"/>
        </w:rPr>
        <w:t xml:space="preserve"> through capital contributions and share purchases </w:t>
      </w:r>
      <w:proofErr w:type="spellStart"/>
      <w:r w:rsidRPr="009C70BE">
        <w:rPr>
          <w:rFonts w:ascii="Aptos" w:eastAsia="Times New Roman" w:hAnsi="Aptos" w:cs="Times New Roman"/>
          <w:color w:val="002060"/>
        </w:rPr>
        <w:t>totalled</w:t>
      </w:r>
      <w:proofErr w:type="spellEnd"/>
      <w:r w:rsidRPr="009C70BE">
        <w:rPr>
          <w:rFonts w:ascii="Aptos" w:eastAsia="Times New Roman" w:hAnsi="Aptos" w:cs="Times New Roman"/>
          <w:color w:val="002060"/>
        </w:rPr>
        <w:t xml:space="preserve"> $7.03 billion, up 54.8 per cent from the previous year. This included 1,305 transactions involving capital contributions or share purchases that increased enterprises' charter capital, with a total value of $2.55 billion, and 2,282 transactions in which foreign investors acquired domestic shares without charter capital, valued at $4.48 billion.</w:t>
      </w:r>
    </w:p>
    <w:p w14:paraId="59A7D2DA"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lastRenderedPageBreak/>
        <w:t>In terms of capital contributions and share purchases by foreign investors, investment in manufacturing and processing reached $2.43 billion, accounting for 34.6 per cent of the total value; professional, scientific, and technological activities reached $1.29 billion, or 18.3 per cent; while other sectors accounted for $3.31 billion, or 47.1 per cent.</w:t>
      </w:r>
    </w:p>
    <w:p w14:paraId="1650E990" w14:textId="77777777" w:rsidR="009C70BE" w:rsidRPr="009C70BE" w:rsidRDefault="009C70BE" w:rsidP="007D1B3B">
      <w:pPr>
        <w:spacing w:line="288" w:lineRule="auto"/>
        <w:jc w:val="both"/>
        <w:rPr>
          <w:rFonts w:ascii="Aptos" w:eastAsia="Times New Roman" w:hAnsi="Aptos" w:cs="Times New Roman"/>
          <w:color w:val="002060"/>
        </w:rPr>
      </w:pPr>
      <w:r w:rsidRPr="009C70BE">
        <w:rPr>
          <w:rFonts w:ascii="Aptos" w:eastAsia="Times New Roman" w:hAnsi="Aptos" w:cs="Times New Roman"/>
          <w:color w:val="002060"/>
        </w:rPr>
        <w:t>In 2025, among the 90 countries and territories with newly licensed projects in Vietnam, Singapore was the largest investor, with $4.84 billion, accounting for 27.9 per cent of total newly registered capital. It was followed by China with $3.64 billion (21 per cent); Hong Kong with $1.73 billion (10 per cent); Japan with $1.62 billion (9.4 per cent); Sweden with $1 billion (5.8 per cent); Taiwan with $965.8 million (5.6 per cent); and South Korea with $895.9 million (5.2 per cent).</w:t>
      </w:r>
    </w:p>
    <w:p w14:paraId="5A02D377" w14:textId="77777777" w:rsidR="009E6D1A" w:rsidRPr="007D1B3B" w:rsidRDefault="009E6D1A" w:rsidP="007D1B3B">
      <w:pPr>
        <w:spacing w:line="288" w:lineRule="auto"/>
        <w:jc w:val="both"/>
        <w:rPr>
          <w:rFonts w:ascii="Aptos" w:hAnsi="Aptos"/>
          <w:color w:val="002060"/>
        </w:rPr>
      </w:pPr>
    </w:p>
    <w:bookmarkStart w:id="810" w:name="_Toc194671400"/>
    <w:bookmarkStart w:id="811" w:name="_Toc195192236"/>
    <w:bookmarkStart w:id="812" w:name="_Toc195795578"/>
    <w:bookmarkStart w:id="813" w:name="_Toc196395805"/>
    <w:bookmarkStart w:id="814" w:name="_Toc197596764"/>
    <w:bookmarkStart w:id="815" w:name="_Toc198210652"/>
    <w:bookmarkStart w:id="816" w:name="_Toc463600478"/>
    <w:bookmarkStart w:id="817" w:name="_Toc464205364"/>
    <w:bookmarkStart w:id="818" w:name="_Toc464808177"/>
    <w:bookmarkStart w:id="819" w:name="_Toc465341597"/>
    <w:bookmarkStart w:id="820" w:name="_Toc466017262"/>
    <w:bookmarkStart w:id="821" w:name="_Toc466625790"/>
    <w:bookmarkStart w:id="822" w:name="_Toc467231593"/>
    <w:bookmarkStart w:id="823" w:name="_Toc467832931"/>
    <w:bookmarkStart w:id="824" w:name="_Toc468440618"/>
    <w:bookmarkStart w:id="825" w:name="_Toc469043519"/>
    <w:bookmarkStart w:id="826" w:name="_Toc469650550"/>
    <w:bookmarkStart w:id="827" w:name="_Toc472071560"/>
    <w:bookmarkStart w:id="828" w:name="_Toc472672626"/>
    <w:bookmarkStart w:id="829" w:name="_Toc473881024"/>
    <w:bookmarkStart w:id="830" w:name="_Toc474487619"/>
    <w:bookmarkStart w:id="831" w:name="_Toc475090275"/>
    <w:bookmarkStart w:id="832" w:name="_Toc475697901"/>
    <w:bookmarkStart w:id="833" w:name="_Toc476302026"/>
    <w:bookmarkStart w:id="834" w:name="_Toc476906667"/>
    <w:bookmarkStart w:id="835" w:name="_Toc477510757"/>
    <w:bookmarkStart w:id="836" w:name="_Toc478116129"/>
    <w:bookmarkStart w:id="837" w:name="_Toc478723302"/>
    <w:bookmarkStart w:id="838" w:name="_Toc479329721"/>
    <w:bookmarkStart w:id="839" w:name="_Toc479930335"/>
    <w:bookmarkStart w:id="840" w:name="_Toc480539779"/>
    <w:bookmarkStart w:id="841" w:name="_Toc481140005"/>
    <w:bookmarkStart w:id="842" w:name="_Toc482351765"/>
    <w:bookmarkStart w:id="843" w:name="_Toc482956642"/>
    <w:bookmarkStart w:id="844" w:name="_Toc484166274"/>
    <w:bookmarkStart w:id="845" w:name="_Toc484769044"/>
    <w:bookmarkStart w:id="846" w:name="_Toc485286973"/>
    <w:bookmarkStart w:id="847" w:name="_Toc485978057"/>
    <w:bookmarkStart w:id="848" w:name="_Toc486585208"/>
    <w:bookmarkStart w:id="849" w:name="_Toc487190859"/>
    <w:bookmarkStart w:id="850" w:name="_Toc487793137"/>
    <w:bookmarkStart w:id="851" w:name="_Toc488396115"/>
    <w:bookmarkStart w:id="852" w:name="_Toc489005367"/>
    <w:bookmarkStart w:id="853" w:name="_Toc489606931"/>
    <w:bookmarkStart w:id="854" w:name="_Toc490213913"/>
    <w:bookmarkStart w:id="855" w:name="_Toc490819138"/>
    <w:bookmarkStart w:id="856" w:name="_Toc491423502"/>
    <w:bookmarkStart w:id="857" w:name="_Toc492024950"/>
    <w:bookmarkStart w:id="858" w:name="_Toc492631844"/>
    <w:bookmarkStart w:id="859" w:name="_Toc493236274"/>
    <w:bookmarkStart w:id="860" w:name="_Toc493837679"/>
    <w:bookmarkStart w:id="861" w:name="_Toc495050086"/>
    <w:bookmarkStart w:id="862" w:name="_Toc495652591"/>
    <w:bookmarkStart w:id="863" w:name="_Toc496261443"/>
    <w:bookmarkStart w:id="864" w:name="_Toc496867238"/>
    <w:bookmarkStart w:id="865" w:name="_Toc497465801"/>
    <w:bookmarkStart w:id="866" w:name="_Toc498081902"/>
    <w:bookmarkStart w:id="867" w:name="_Toc498682160"/>
    <w:bookmarkStart w:id="868" w:name="_Toc499287557"/>
    <w:bookmarkStart w:id="869" w:name="_Toc499891999"/>
    <w:bookmarkStart w:id="870" w:name="_Toc500496799"/>
    <w:bookmarkStart w:id="871" w:name="_Toc501099743"/>
    <w:bookmarkStart w:id="872" w:name="_Toc501705026"/>
    <w:bookmarkStart w:id="873" w:name="_Toc532560727"/>
    <w:bookmarkStart w:id="874" w:name="_Toc533156853"/>
    <w:bookmarkStart w:id="875" w:name="_Toc533775406"/>
    <w:bookmarkStart w:id="876" w:name="_Toc534372214"/>
    <w:bookmarkStart w:id="877" w:name="_Toc534972014"/>
    <w:bookmarkStart w:id="878" w:name="_Toc535582786"/>
    <w:bookmarkStart w:id="879" w:name="_Toc536187108"/>
    <w:bookmarkStart w:id="880" w:name="_Toc536785396"/>
    <w:bookmarkStart w:id="881" w:name="_Toc1130214"/>
    <w:bookmarkStart w:id="882" w:name="_Toc1727990"/>
    <w:bookmarkStart w:id="883" w:name="_Toc2333101"/>
    <w:bookmarkStart w:id="884" w:name="_Toc2937890"/>
    <w:bookmarkStart w:id="885" w:name="_Toc3543100"/>
    <w:bookmarkStart w:id="886" w:name="_Toc4146395"/>
    <w:bookmarkStart w:id="887" w:name="_Toc4758763"/>
    <w:bookmarkStart w:id="888" w:name="_Toc5357731"/>
    <w:bookmarkStart w:id="889" w:name="_Toc5961968"/>
    <w:bookmarkStart w:id="890" w:name="_Toc6565244"/>
    <w:bookmarkStart w:id="891" w:name="_Toc7172948"/>
    <w:bookmarkStart w:id="892" w:name="_Toc7776795"/>
    <w:bookmarkStart w:id="893" w:name="_Toc8385543"/>
    <w:bookmarkStart w:id="894" w:name="_Toc8986694"/>
    <w:bookmarkStart w:id="895" w:name="_Toc9591448"/>
    <w:bookmarkStart w:id="896" w:name="_Toc10800783"/>
    <w:bookmarkStart w:id="897" w:name="_Toc11403503"/>
    <w:bookmarkStart w:id="898" w:name="_Toc12010889"/>
    <w:bookmarkStart w:id="899" w:name="_Toc12614888"/>
    <w:bookmarkStart w:id="900" w:name="_Toc13219390"/>
    <w:bookmarkStart w:id="901" w:name="_Toc13830741"/>
    <w:bookmarkStart w:id="902" w:name="_Toc14429416"/>
    <w:bookmarkStart w:id="903" w:name="_Toc15034925"/>
    <w:bookmarkStart w:id="904" w:name="_Toc15638242"/>
    <w:bookmarkStart w:id="905" w:name="_Toc16243824"/>
    <w:bookmarkStart w:id="906" w:name="_Toc17453996"/>
    <w:bookmarkStart w:id="907" w:name="_Toc18058964"/>
    <w:bookmarkStart w:id="908" w:name="_Toc18664192"/>
    <w:bookmarkStart w:id="909" w:name="_Toc19268596"/>
    <w:bookmarkStart w:id="910" w:name="_Toc19868202"/>
    <w:bookmarkStart w:id="911" w:name="_Toc20476484"/>
    <w:bookmarkStart w:id="912" w:name="_Toc21082718"/>
    <w:bookmarkStart w:id="913" w:name="_Toc21596850"/>
    <w:bookmarkStart w:id="914" w:name="_Toc22292250"/>
    <w:bookmarkStart w:id="915" w:name="_Toc22902075"/>
    <w:bookmarkStart w:id="916" w:name="_Toc23500788"/>
    <w:bookmarkStart w:id="917" w:name="_Toc24106272"/>
    <w:bookmarkStart w:id="918" w:name="_Toc24708421"/>
    <w:bookmarkStart w:id="919" w:name="_Toc25235416"/>
    <w:bookmarkStart w:id="920" w:name="_Toc25920246"/>
    <w:bookmarkStart w:id="921" w:name="_Toc26524523"/>
    <w:bookmarkStart w:id="922" w:name="_Toc27130360"/>
    <w:bookmarkStart w:id="923" w:name="_Toc28949359"/>
    <w:bookmarkStart w:id="924" w:name="_Toc29553166"/>
    <w:bookmarkStart w:id="925" w:name="_Toc31365286"/>
    <w:bookmarkStart w:id="926" w:name="_Toc31968693"/>
    <w:bookmarkStart w:id="927" w:name="_Toc33177783"/>
    <w:bookmarkStart w:id="928" w:name="_Toc33784207"/>
    <w:bookmarkStart w:id="929" w:name="_Toc34387343"/>
    <w:bookmarkStart w:id="930" w:name="_Toc34992458"/>
    <w:bookmarkStart w:id="931" w:name="_Toc36200910"/>
    <w:bookmarkStart w:id="932" w:name="_Toc36804871"/>
    <w:bookmarkStart w:id="933" w:name="_Toc37412100"/>
    <w:bookmarkStart w:id="934" w:name="_Toc38016894"/>
    <w:bookmarkStart w:id="935" w:name="_Toc38623250"/>
    <w:bookmarkStart w:id="936" w:name="_Toc47007114"/>
    <w:bookmarkStart w:id="937" w:name="_Toc47608057"/>
    <w:bookmarkStart w:id="938" w:name="_Toc48219516"/>
    <w:bookmarkStart w:id="939" w:name="_Toc48816719"/>
    <w:bookmarkStart w:id="940" w:name="_Toc49427958"/>
    <w:bookmarkStart w:id="941" w:name="_Toc50027108"/>
    <w:bookmarkStart w:id="942" w:name="_Toc50638516"/>
    <w:bookmarkStart w:id="943" w:name="_Toc51235723"/>
    <w:bookmarkStart w:id="944" w:name="_Toc51848412"/>
    <w:bookmarkStart w:id="945" w:name="_Toc52453558"/>
    <w:bookmarkStart w:id="946" w:name="_Toc53055809"/>
    <w:bookmarkStart w:id="947" w:name="_Toc53660731"/>
    <w:bookmarkStart w:id="948" w:name="_Toc54259231"/>
    <w:bookmarkStart w:id="949" w:name="_Toc54865648"/>
    <w:bookmarkStart w:id="950" w:name="_Toc55477675"/>
    <w:bookmarkStart w:id="951" w:name="_Toc56073562"/>
    <w:bookmarkStart w:id="952" w:name="_Toc56678769"/>
    <w:bookmarkStart w:id="953" w:name="_Toc57284480"/>
    <w:bookmarkStart w:id="954" w:name="_Toc57895630"/>
    <w:bookmarkStart w:id="955" w:name="_Toc58494294"/>
    <w:bookmarkStart w:id="956" w:name="_Toc59104496"/>
    <w:bookmarkStart w:id="957" w:name="_Toc60922256"/>
    <w:bookmarkStart w:id="958" w:name="_Toc61518222"/>
    <w:bookmarkStart w:id="959" w:name="_Toc62129066"/>
    <w:bookmarkStart w:id="960" w:name="_Toc62734944"/>
    <w:bookmarkStart w:id="961" w:name="_Toc63333219"/>
    <w:bookmarkStart w:id="962" w:name="_Toc65152056"/>
    <w:bookmarkStart w:id="963" w:name="_Toc65759412"/>
    <w:bookmarkStart w:id="964" w:name="_Toc66363552"/>
    <w:bookmarkStart w:id="965" w:name="_Toc66960055"/>
    <w:bookmarkStart w:id="966" w:name="_Toc67652153"/>
    <w:bookmarkStart w:id="967" w:name="_Toc68179927"/>
    <w:bookmarkStart w:id="968" w:name="_Toc68774156"/>
    <w:bookmarkStart w:id="969" w:name="_Toc69386922"/>
    <w:bookmarkStart w:id="970" w:name="_Toc69991775"/>
    <w:bookmarkStart w:id="971" w:name="_Toc70509847"/>
    <w:bookmarkStart w:id="972" w:name="_Toc71207403"/>
    <w:bookmarkStart w:id="973" w:name="_Toc71799314"/>
    <w:bookmarkStart w:id="974" w:name="_Toc72414983"/>
    <w:bookmarkStart w:id="975" w:name="_Toc73015461"/>
    <w:bookmarkStart w:id="976" w:name="_Toc73618184"/>
    <w:bookmarkStart w:id="977" w:name="_Toc74224519"/>
    <w:bookmarkStart w:id="978" w:name="_Toc74836038"/>
    <w:bookmarkStart w:id="979" w:name="_Toc75439630"/>
    <w:bookmarkStart w:id="980" w:name="_Toc76033397"/>
    <w:bookmarkStart w:id="981" w:name="_Toc76568190"/>
    <w:bookmarkStart w:id="982" w:name="_Toc77249830"/>
    <w:bookmarkStart w:id="983" w:name="_Toc77848125"/>
    <w:bookmarkStart w:id="984" w:name="_Toc78458420"/>
    <w:bookmarkStart w:id="985" w:name="_Toc79065743"/>
    <w:bookmarkStart w:id="986" w:name="_Toc79674836"/>
    <w:bookmarkStart w:id="987" w:name="_Toc80967359"/>
    <w:bookmarkStart w:id="988" w:name="_Toc82098811"/>
    <w:bookmarkStart w:id="989" w:name="_Toc82697213"/>
    <w:bookmarkStart w:id="990" w:name="_Toc83296675"/>
    <w:bookmarkStart w:id="991" w:name="_Toc83896636"/>
    <w:bookmarkStart w:id="992" w:name="_Toc84511081"/>
    <w:bookmarkStart w:id="993" w:name="_Toc85126363"/>
    <w:bookmarkStart w:id="994" w:name="_Toc85726072"/>
    <w:bookmarkStart w:id="995" w:name="_Toc86326960"/>
    <w:bookmarkStart w:id="996" w:name="_Toc86928734"/>
    <w:bookmarkStart w:id="997" w:name="_Toc87533870"/>
    <w:bookmarkStart w:id="998" w:name="_Toc88139984"/>
    <w:bookmarkStart w:id="999" w:name="_Toc88827430"/>
    <w:bookmarkStart w:id="1000" w:name="_Toc89348607"/>
    <w:bookmarkStart w:id="1001" w:name="_Toc89954367"/>
    <w:bookmarkStart w:id="1002" w:name="_Toc90547137"/>
    <w:bookmarkStart w:id="1003" w:name="_Toc91162885"/>
    <w:bookmarkStart w:id="1004" w:name="_Toc92977897"/>
    <w:bookmarkStart w:id="1005" w:name="_Toc93582841"/>
    <w:bookmarkStart w:id="1006" w:name="_Toc94185887"/>
    <w:bookmarkStart w:id="1007" w:name="_Toc124758948"/>
    <w:bookmarkStart w:id="1008" w:name="_Toc126243204"/>
    <w:bookmarkStart w:id="1009" w:name="_Toc126844380"/>
    <w:bookmarkStart w:id="1010" w:name="_Toc127449241"/>
    <w:bookmarkStart w:id="1011" w:name="_Toc128057353"/>
    <w:bookmarkStart w:id="1012" w:name="_Toc128657904"/>
    <w:bookmarkStart w:id="1013" w:name="_Toc129265050"/>
    <w:bookmarkStart w:id="1014" w:name="_Toc129869294"/>
    <w:bookmarkStart w:id="1015" w:name="_Toc130472596"/>
    <w:bookmarkStart w:id="1016" w:name="_Toc131080434"/>
    <w:bookmarkStart w:id="1017" w:name="_Toc131684267"/>
    <w:bookmarkStart w:id="1018" w:name="_Toc132288745"/>
    <w:bookmarkStart w:id="1019" w:name="_Toc132880400"/>
    <w:bookmarkStart w:id="1020" w:name="_Toc133498220"/>
    <w:bookmarkStart w:id="1021" w:name="_Toc134108014"/>
    <w:bookmarkStart w:id="1022" w:name="_Toc134709557"/>
    <w:bookmarkStart w:id="1023" w:name="_Toc134709708"/>
    <w:bookmarkStart w:id="1024" w:name="_Toc135315977"/>
    <w:bookmarkStart w:id="1025" w:name="_Toc135915566"/>
    <w:bookmarkStart w:id="1026" w:name="_Toc136526496"/>
    <w:bookmarkStart w:id="1027" w:name="_Toc137126054"/>
    <w:bookmarkStart w:id="1028" w:name="_Toc137733679"/>
    <w:bookmarkStart w:id="1029" w:name="_Toc138336645"/>
    <w:bookmarkStart w:id="1030" w:name="_Toc138940632"/>
    <w:bookmarkStart w:id="1031" w:name="_Toc139544026"/>
    <w:bookmarkStart w:id="1032" w:name="_Toc140151837"/>
    <w:bookmarkStart w:id="1033" w:name="_Toc140757914"/>
    <w:bookmarkStart w:id="1034" w:name="_Toc141359491"/>
    <w:bookmarkStart w:id="1035" w:name="_Toc141965603"/>
    <w:bookmarkStart w:id="1036" w:name="_Toc142569952"/>
    <w:bookmarkStart w:id="1037" w:name="_Toc143175010"/>
    <w:bookmarkStart w:id="1038" w:name="_Toc143779707"/>
    <w:bookmarkStart w:id="1039" w:name="_Toc144384336"/>
    <w:bookmarkStart w:id="1040" w:name="_Toc144991148"/>
    <w:bookmarkStart w:id="1041" w:name="_Toc145601276"/>
    <w:bookmarkStart w:id="1042" w:name="_Toc146205298"/>
    <w:bookmarkStart w:id="1043" w:name="_Toc146808608"/>
    <w:bookmarkStart w:id="1044" w:name="_Toc147412066"/>
    <w:bookmarkStart w:id="1045" w:name="_Toc148007948"/>
    <w:bookmarkStart w:id="1046" w:name="_Toc148621880"/>
    <w:bookmarkStart w:id="1047" w:name="_Toc149228687"/>
    <w:bookmarkStart w:id="1048" w:name="_Toc149826963"/>
    <w:bookmarkStart w:id="1049" w:name="_Toc434571325"/>
    <w:bookmarkStart w:id="1050" w:name="_Toc435172631"/>
    <w:bookmarkStart w:id="1051" w:name="_Toc435779455"/>
    <w:bookmarkStart w:id="1052" w:name="_Toc436380895"/>
    <w:bookmarkStart w:id="1053" w:name="_Toc431546396"/>
    <w:bookmarkStart w:id="1054" w:name="_Toc432151538"/>
    <w:bookmarkStart w:id="1055" w:name="_Toc432755921"/>
    <w:bookmarkStart w:id="1056" w:name="_Toc433361392"/>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6CC7C74C" w14:textId="77777777" w:rsidR="009E6D1A" w:rsidRPr="004C6CBE" w:rsidRDefault="00935517" w:rsidP="009E6D1A">
      <w:pPr>
        <w:spacing w:line="288" w:lineRule="auto"/>
        <w:jc w:val="right"/>
        <w:rPr>
          <w:rStyle w:val="Hyperlink"/>
          <w:rFonts w:ascii="Aptos" w:hAnsi="Aptos"/>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6D8E27A9" w14:textId="77777777" w:rsidR="005A024E" w:rsidRDefault="005A024E" w:rsidP="005A024E">
      <w:pPr>
        <w:spacing w:after="161" w:line="240" w:lineRule="auto"/>
        <w:outlineLvl w:val="0"/>
        <w:rPr>
          <w:rFonts w:ascii="Times New Roman" w:eastAsia="Times New Roman" w:hAnsi="Times New Roman" w:cs="Times New Roman"/>
          <w:color w:val="000000"/>
          <w:kern w:val="36"/>
          <w:sz w:val="45"/>
          <w:szCs w:val="45"/>
        </w:rPr>
      </w:pPr>
    </w:p>
    <w:p w14:paraId="2843EAD3" w14:textId="77777777" w:rsidR="009C70BE" w:rsidRPr="009C70BE" w:rsidRDefault="009C70BE" w:rsidP="007D1B3B">
      <w:pPr>
        <w:spacing w:after="161" w:line="240" w:lineRule="auto"/>
        <w:jc w:val="both"/>
        <w:outlineLvl w:val="0"/>
        <w:rPr>
          <w:rFonts w:ascii="Aptos" w:eastAsia="Times New Roman" w:hAnsi="Aptos" w:cstheme="minorHAnsi"/>
          <w:b/>
          <w:bCs/>
          <w:color w:val="002060"/>
          <w:kern w:val="36"/>
          <w:sz w:val="28"/>
          <w:szCs w:val="28"/>
        </w:rPr>
      </w:pPr>
      <w:bookmarkStart w:id="1057" w:name="_Toc218772679"/>
      <w:r w:rsidRPr="009C70BE">
        <w:rPr>
          <w:rFonts w:ascii="Aptos" w:eastAsia="Times New Roman" w:hAnsi="Aptos" w:cstheme="minorHAnsi"/>
          <w:b/>
          <w:bCs/>
          <w:color w:val="002060"/>
          <w:kern w:val="36"/>
          <w:sz w:val="28"/>
          <w:szCs w:val="28"/>
        </w:rPr>
        <w:t>Meiko strengthens Vietnam operations with new PCB plants</w:t>
      </w:r>
      <w:bookmarkEnd w:id="1057"/>
    </w:p>
    <w:p w14:paraId="6683B094" w14:textId="0E6048D7" w:rsidR="009C70BE" w:rsidRPr="007D1B3B" w:rsidRDefault="007D1B3B" w:rsidP="007D1B3B">
      <w:pPr>
        <w:spacing w:after="150" w:line="300" w:lineRule="atLeast"/>
        <w:jc w:val="both"/>
        <w:rPr>
          <w:rFonts w:ascii="Aptos" w:eastAsia="Times New Roman" w:hAnsi="Aptos" w:cstheme="minorHAnsi"/>
          <w:i/>
          <w:iCs/>
          <w:color w:val="002060"/>
          <w:sz w:val="18"/>
          <w:szCs w:val="18"/>
        </w:rPr>
      </w:pPr>
      <w:r w:rsidRPr="007D1B3B">
        <w:rPr>
          <w:rFonts w:ascii="Aptos" w:eastAsia="Times New Roman" w:hAnsi="Aptos" w:cstheme="minorHAnsi"/>
          <w:i/>
          <w:iCs/>
          <w:color w:val="002060"/>
          <w:sz w:val="18"/>
          <w:szCs w:val="18"/>
        </w:rPr>
        <w:t>VIR</w:t>
      </w:r>
    </w:p>
    <w:p w14:paraId="3C61C970" w14:textId="77777777" w:rsidR="007D1B3B" w:rsidRPr="009C70BE" w:rsidRDefault="007D1B3B" w:rsidP="007D1B3B">
      <w:pPr>
        <w:spacing w:after="150" w:line="300" w:lineRule="atLeast"/>
        <w:jc w:val="both"/>
        <w:rPr>
          <w:rFonts w:ascii="Aptos" w:eastAsia="Times New Roman" w:hAnsi="Aptos" w:cstheme="minorHAnsi"/>
          <w:color w:val="002060"/>
        </w:rPr>
      </w:pPr>
    </w:p>
    <w:p w14:paraId="651A07CA" w14:textId="77777777" w:rsidR="009C70BE" w:rsidRPr="009C70BE" w:rsidRDefault="009C70BE" w:rsidP="007D1B3B">
      <w:pPr>
        <w:spacing w:after="150" w:line="240" w:lineRule="auto"/>
        <w:jc w:val="both"/>
        <w:rPr>
          <w:rFonts w:ascii="Aptos" w:eastAsia="Times New Roman" w:hAnsi="Aptos" w:cstheme="minorHAnsi"/>
          <w:color w:val="002060"/>
        </w:rPr>
      </w:pPr>
      <w:r w:rsidRPr="009C70BE">
        <w:rPr>
          <w:rFonts w:ascii="Aptos" w:eastAsia="Times New Roman" w:hAnsi="Aptos" w:cstheme="minorHAnsi"/>
          <w:color w:val="002060"/>
        </w:rPr>
        <w:t>A major Japanese electronics supplier is stepping up its Vietnam footprint, underscoring the country’s growing role in advanced electronics manufacturing tied to global tech supply chains.</w:t>
      </w:r>
    </w:p>
    <w:p w14:paraId="3A44D56D" w14:textId="77777777" w:rsidR="009C70BE" w:rsidRPr="009C70BE" w:rsidRDefault="009C70BE" w:rsidP="007D1B3B">
      <w:pPr>
        <w:spacing w:after="225" w:line="240" w:lineRule="auto"/>
        <w:jc w:val="both"/>
        <w:rPr>
          <w:rFonts w:ascii="Aptos" w:eastAsia="Times New Roman" w:hAnsi="Aptos" w:cstheme="minorHAnsi"/>
          <w:color w:val="002060"/>
        </w:rPr>
      </w:pPr>
      <w:r w:rsidRPr="009C70BE">
        <w:rPr>
          <w:rFonts w:ascii="Aptos" w:eastAsia="Times New Roman" w:hAnsi="Aptos" w:cstheme="minorHAnsi"/>
          <w:color w:val="002060"/>
        </w:rPr>
        <w:t>Meiko Electronics plans to invest ¥40 billion ($255 million) to build a printed circuit board (PCB) factory in Vietnam, according to a Nikkei Asia article from January 1. The facility is expected to supply PCBs for Samsung Electronics’ latest smartphones equipped with generative AI features, with final assembly to take place at Samsung’s existing plants in Vietnam.</w:t>
      </w:r>
    </w:p>
    <w:p w14:paraId="7DBC88F1" w14:textId="77777777" w:rsidR="009C70BE" w:rsidRPr="009C70BE" w:rsidRDefault="009C70BE" w:rsidP="007D1B3B">
      <w:pPr>
        <w:spacing w:after="225" w:line="240" w:lineRule="auto"/>
        <w:jc w:val="both"/>
        <w:rPr>
          <w:rFonts w:ascii="Aptos" w:eastAsia="Times New Roman" w:hAnsi="Aptos" w:cstheme="minorHAnsi"/>
          <w:color w:val="002060"/>
        </w:rPr>
      </w:pPr>
      <w:r w:rsidRPr="009C70BE">
        <w:rPr>
          <w:rFonts w:ascii="Aptos" w:eastAsia="Times New Roman" w:hAnsi="Aptos" w:cstheme="minorHAnsi"/>
          <w:color w:val="002060"/>
        </w:rPr>
        <w:t xml:space="preserve">Construction is slated to begin in April, while mass production is scheduled for 2027. Located in Quang Ninh province, the factory covers a total area of 53,000 square </w:t>
      </w:r>
      <w:proofErr w:type="spellStart"/>
      <w:r w:rsidRPr="009C70BE">
        <w:rPr>
          <w:rFonts w:ascii="Aptos" w:eastAsia="Times New Roman" w:hAnsi="Aptos" w:cstheme="minorHAnsi"/>
          <w:color w:val="002060"/>
        </w:rPr>
        <w:t>metres</w:t>
      </w:r>
      <w:proofErr w:type="spellEnd"/>
      <w:r w:rsidRPr="009C70BE">
        <w:rPr>
          <w:rFonts w:ascii="Aptos" w:eastAsia="Times New Roman" w:hAnsi="Aptos" w:cstheme="minorHAnsi"/>
          <w:color w:val="002060"/>
        </w:rPr>
        <w:t>, which is on par with another Vietnam factory that Meiko will supply Apple.</w:t>
      </w:r>
    </w:p>
    <w:p w14:paraId="44DE774B" w14:textId="77777777" w:rsidR="009C70BE" w:rsidRPr="009C70BE" w:rsidRDefault="009C70BE" w:rsidP="007D1B3B">
      <w:pPr>
        <w:spacing w:after="225" w:line="240" w:lineRule="auto"/>
        <w:jc w:val="both"/>
        <w:rPr>
          <w:rFonts w:ascii="Aptos" w:eastAsia="Times New Roman" w:hAnsi="Aptos" w:cstheme="minorHAnsi"/>
          <w:color w:val="002060"/>
        </w:rPr>
      </w:pPr>
      <w:r w:rsidRPr="009C70BE">
        <w:rPr>
          <w:rFonts w:ascii="Aptos" w:eastAsia="Times New Roman" w:hAnsi="Aptos" w:cstheme="minorHAnsi"/>
          <w:color w:val="002060"/>
        </w:rPr>
        <w:t>The Japanese components supplier aims to generate 30 billion yen (almost $191 million) in sales from the Quang Ninh plant in the 2029 fiscal year.</w:t>
      </w:r>
    </w:p>
    <w:p w14:paraId="259347E6" w14:textId="77777777" w:rsidR="009C70BE" w:rsidRPr="009C70BE" w:rsidRDefault="009C70BE" w:rsidP="007D1B3B">
      <w:pPr>
        <w:spacing w:after="225" w:line="240" w:lineRule="auto"/>
        <w:jc w:val="both"/>
        <w:rPr>
          <w:rFonts w:ascii="Aptos" w:eastAsia="Times New Roman" w:hAnsi="Aptos" w:cstheme="minorHAnsi"/>
          <w:color w:val="002060"/>
        </w:rPr>
      </w:pPr>
      <w:r w:rsidRPr="009C70BE">
        <w:rPr>
          <w:rFonts w:ascii="Aptos" w:eastAsia="Times New Roman" w:hAnsi="Aptos" w:cstheme="minorHAnsi"/>
          <w:color w:val="002060"/>
        </w:rPr>
        <w:t>In 2024, Meiko invested ¥50 billion to build a factory in Hoa Binh to produce circuit boards for Apple iPhones, with mass production expected to begin in the next fiscal year.</w:t>
      </w:r>
    </w:p>
    <w:p w14:paraId="1E39F941" w14:textId="77777777" w:rsidR="009C70BE" w:rsidRPr="009C70BE" w:rsidRDefault="009C70BE" w:rsidP="007D1B3B">
      <w:pPr>
        <w:spacing w:after="225" w:line="240" w:lineRule="auto"/>
        <w:jc w:val="both"/>
        <w:rPr>
          <w:rFonts w:ascii="Aptos" w:eastAsia="Times New Roman" w:hAnsi="Aptos" w:cstheme="minorHAnsi"/>
          <w:color w:val="002060"/>
        </w:rPr>
      </w:pPr>
      <w:r w:rsidRPr="009C70BE">
        <w:rPr>
          <w:rFonts w:ascii="Aptos" w:eastAsia="Times New Roman" w:hAnsi="Aptos" w:cstheme="minorHAnsi"/>
          <w:color w:val="002060"/>
        </w:rPr>
        <w:t>The company entered Vietnam in 2006 with its first factory in Thach That district on the outskirts of Hanoi, then one of the country’s top 10 foreign-invested projects. Meiko now operates four manufacturing and assembly facilities nationwide.</w:t>
      </w:r>
    </w:p>
    <w:p w14:paraId="311BFD05" w14:textId="77777777" w:rsidR="009C70BE" w:rsidRPr="009C70BE" w:rsidRDefault="009C70BE" w:rsidP="007D1B3B">
      <w:pPr>
        <w:spacing w:line="240" w:lineRule="auto"/>
        <w:jc w:val="both"/>
        <w:rPr>
          <w:rFonts w:ascii="Aptos" w:eastAsia="Times New Roman" w:hAnsi="Aptos" w:cstheme="minorHAnsi"/>
          <w:color w:val="002060"/>
        </w:rPr>
      </w:pPr>
      <w:r w:rsidRPr="009C70BE">
        <w:rPr>
          <w:rFonts w:ascii="Aptos" w:eastAsia="Times New Roman" w:hAnsi="Aptos" w:cstheme="minorHAnsi"/>
          <w:color w:val="002060"/>
        </w:rPr>
        <w:t>According to data by the Foreign Investment Agency, Japanese investors poured $1.56 billion into Vietnam in the first 11 months of 2025, accounting for 9.8 per cent of total inflows. This underscores Japan’s role as a major investor and an important strategic economic partner of Vietnam. Japanese investments largely focus on retail, real estate, and manufacturing and processing.</w:t>
      </w:r>
    </w:p>
    <w:p w14:paraId="2F4CDD20" w14:textId="77777777" w:rsidR="005A024E" w:rsidRPr="007D1B3B" w:rsidRDefault="005A024E" w:rsidP="007D1B3B">
      <w:pPr>
        <w:spacing w:line="288" w:lineRule="auto"/>
        <w:jc w:val="both"/>
        <w:rPr>
          <w:rFonts w:ascii="Aptos" w:eastAsia="Times New Roman" w:hAnsi="Aptos" w:cstheme="minorHAnsi"/>
          <w:color w:val="002060"/>
        </w:rPr>
      </w:pPr>
    </w:p>
    <w:p w14:paraId="184BBCC7" w14:textId="77777777" w:rsidR="00BD1642" w:rsidRPr="004C6CBE" w:rsidRDefault="00935517" w:rsidP="00BD1642">
      <w:pPr>
        <w:spacing w:line="288" w:lineRule="auto"/>
        <w:jc w:val="right"/>
        <w:rPr>
          <w:rStyle w:val="Hyperlink"/>
          <w:rFonts w:ascii="Aptos" w:eastAsia="Malgun Gothic" w:hAnsi="Aptos" w:cs="Times New Roman"/>
          <w:color w:val="002060"/>
        </w:rPr>
      </w:pPr>
      <w:hyperlink w:anchor="_top" w:history="1">
        <w:r w:rsidR="00BD1642" w:rsidRPr="004C6CBE">
          <w:rPr>
            <w:rStyle w:val="Hyperlink"/>
            <w:rFonts w:ascii="Aptos" w:eastAsia="Malgun Gothic" w:hAnsi="Aptos" w:cs="Times New Roman"/>
            <w:color w:val="002060"/>
          </w:rPr>
          <w:t>Back to Top</w:t>
        </w:r>
      </w:hyperlink>
    </w:p>
    <w:p w14:paraId="43117972" w14:textId="77777777" w:rsidR="009E6D1A" w:rsidRPr="009E6D1A" w:rsidRDefault="009E6D1A" w:rsidP="009E6D1A">
      <w:pPr>
        <w:spacing w:after="360" w:line="702" w:lineRule="atLeast"/>
        <w:outlineLvl w:val="0"/>
        <w:rPr>
          <w:rFonts w:ascii="cnn_sans_display" w:eastAsia="Times New Roman" w:hAnsi="cnn_sans_display" w:cs="Times New Roman"/>
          <w:b/>
          <w:bCs/>
          <w:color w:val="282934"/>
          <w:kern w:val="36"/>
          <w:sz w:val="58"/>
          <w:szCs w:val="72"/>
        </w:rPr>
      </w:pPr>
    </w:p>
    <w:p w14:paraId="56C204B0" w14:textId="4149D1A7" w:rsidR="00105440" w:rsidRDefault="00664BCE" w:rsidP="00105440">
      <w:pPr>
        <w:pStyle w:val="Heading1"/>
        <w:shd w:val="clear" w:color="auto" w:fill="FFFFFF"/>
        <w:spacing w:before="0" w:line="288" w:lineRule="atLeast"/>
        <w:rPr>
          <w:rFonts w:ascii="Aptos" w:eastAsia="Malgun Gothic" w:hAnsi="Aptos" w:cs="Times New Roman"/>
          <w:color w:val="002060"/>
        </w:rPr>
      </w:pPr>
      <w:bookmarkStart w:id="1058" w:name="_Toc198816068"/>
      <w:bookmarkStart w:id="1059" w:name="_Toc199419430"/>
      <w:bookmarkStart w:id="1060" w:name="_Toc200013603"/>
      <w:bookmarkStart w:id="1061" w:name="_Toc200628579"/>
      <w:bookmarkStart w:id="1062" w:name="_Toc201837361"/>
      <w:bookmarkStart w:id="1063" w:name="_Toc202445696"/>
      <w:bookmarkStart w:id="1064" w:name="_Toc203047562"/>
      <w:bookmarkStart w:id="1065" w:name="_Toc203655866"/>
      <w:bookmarkStart w:id="1066" w:name="_Toc204262804"/>
      <w:bookmarkStart w:id="1067" w:name="_Toc204862963"/>
      <w:bookmarkStart w:id="1068" w:name="_Toc205466591"/>
      <w:bookmarkStart w:id="1069" w:name="_Toc206074509"/>
      <w:bookmarkStart w:id="1070" w:name="_Toc207184403"/>
      <w:bookmarkStart w:id="1071" w:name="_Toc207888607"/>
      <w:bookmarkStart w:id="1072" w:name="_Toc208493631"/>
      <w:bookmarkStart w:id="1073" w:name="_Toc208493709"/>
      <w:bookmarkStart w:id="1074" w:name="_Toc209099453"/>
      <w:bookmarkStart w:id="1075" w:name="_Toc209702680"/>
      <w:bookmarkStart w:id="1076" w:name="_Toc210305244"/>
      <w:bookmarkStart w:id="1077" w:name="_Toc210911922"/>
      <w:bookmarkStart w:id="1078" w:name="_Toc210912014"/>
      <w:bookmarkStart w:id="1079" w:name="_Toc211518245"/>
      <w:bookmarkStart w:id="1080" w:name="_Toc212118928"/>
      <w:bookmarkStart w:id="1081" w:name="_Toc212726921"/>
      <w:bookmarkStart w:id="1082" w:name="_Toc213334257"/>
      <w:bookmarkStart w:id="1083" w:name="_Toc213924606"/>
      <w:bookmarkStart w:id="1084" w:name="_Toc214539948"/>
      <w:bookmarkStart w:id="1085" w:name="_Toc215144383"/>
      <w:bookmarkStart w:id="1086" w:name="_Toc215750962"/>
      <w:bookmarkStart w:id="1087" w:name="_Toc216355057"/>
      <w:bookmarkStart w:id="1088" w:name="_Toc216965806"/>
      <w:bookmarkStart w:id="1089" w:name="_Toc217639130"/>
      <w:bookmarkStart w:id="1090" w:name="_Toc218772680"/>
      <w:r w:rsidRPr="004C6CBE">
        <w:rPr>
          <w:rFonts w:ascii="Aptos" w:eastAsia="Malgun Gothic" w:hAnsi="Aptos" w:cs="Times New Roman"/>
          <w:color w:val="002060"/>
        </w:rPr>
        <w:t>PROPERTY</w:t>
      </w:r>
      <w:bookmarkEnd w:id="810"/>
      <w:bookmarkEnd w:id="811"/>
      <w:bookmarkEnd w:id="812"/>
      <w:bookmarkEnd w:id="813"/>
      <w:bookmarkEnd w:id="814"/>
      <w:bookmarkEnd w:id="815"/>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68BAB346" w14:textId="77777777" w:rsidR="003813C9" w:rsidRDefault="003813C9" w:rsidP="003813C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7191E86D" w14:textId="4B3C70A8" w:rsidR="003813C9" w:rsidRPr="003813C9" w:rsidRDefault="003813C9" w:rsidP="003813C9">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91" w:name="_Toc218772681"/>
      <w:r w:rsidRPr="003813C9">
        <w:rPr>
          <w:rFonts w:ascii="Aptos" w:eastAsia="Times New Roman" w:hAnsi="Aptos" w:cs="Times New Roman"/>
          <w:b/>
          <w:bCs/>
          <w:color w:val="002060"/>
          <w:kern w:val="36"/>
          <w:sz w:val="28"/>
          <w:szCs w:val="28"/>
        </w:rPr>
        <w:t>Digital ID codes will be assigned to real estate properties</w:t>
      </w:r>
      <w:bookmarkEnd w:id="1091"/>
    </w:p>
    <w:p w14:paraId="058E84B4" w14:textId="3C833132" w:rsidR="003813C9" w:rsidRPr="003813C9" w:rsidRDefault="003813C9" w:rsidP="003813C9">
      <w:pPr>
        <w:spacing w:after="0" w:line="288" w:lineRule="auto"/>
        <w:jc w:val="both"/>
        <w:rPr>
          <w:rFonts w:ascii="Aptos" w:eastAsia="Times New Roman" w:hAnsi="Aptos" w:cs="Times New Roman"/>
          <w:i/>
          <w:iCs/>
          <w:color w:val="002060"/>
          <w:sz w:val="18"/>
          <w:szCs w:val="18"/>
        </w:rPr>
      </w:pPr>
      <w:r w:rsidRPr="003813C9">
        <w:rPr>
          <w:rFonts w:ascii="Aptos" w:eastAsia="Times New Roman" w:hAnsi="Aptos" w:cs="Times New Roman"/>
          <w:i/>
          <w:iCs/>
          <w:color w:val="002060"/>
          <w:sz w:val="18"/>
          <w:szCs w:val="18"/>
        </w:rPr>
        <w:t>VET</w:t>
      </w:r>
    </w:p>
    <w:p w14:paraId="646D2BF6" w14:textId="77777777" w:rsidR="003813C9" w:rsidRPr="003813C9" w:rsidRDefault="003813C9" w:rsidP="003813C9">
      <w:pPr>
        <w:spacing w:after="0" w:line="288" w:lineRule="auto"/>
        <w:jc w:val="both"/>
        <w:rPr>
          <w:rFonts w:ascii="Aptos" w:eastAsia="Times New Roman" w:hAnsi="Aptos" w:cs="Times New Roman"/>
          <w:color w:val="002060"/>
        </w:rPr>
      </w:pPr>
    </w:p>
    <w:p w14:paraId="47859E78" w14:textId="77777777" w:rsidR="003813C9" w:rsidRPr="003813C9" w:rsidRDefault="003813C9" w:rsidP="003813C9">
      <w:pPr>
        <w:spacing w:after="100" w:afterAutospacing="1" w:line="288" w:lineRule="auto"/>
        <w:jc w:val="both"/>
        <w:outlineLvl w:val="1"/>
        <w:rPr>
          <w:rFonts w:ascii="Aptos" w:eastAsia="Times New Roman" w:hAnsi="Aptos" w:cs="Arial"/>
          <w:b/>
          <w:bCs/>
          <w:color w:val="002060"/>
        </w:rPr>
      </w:pPr>
      <w:bookmarkStart w:id="1092" w:name="_Toc218772682"/>
      <w:r w:rsidRPr="003813C9">
        <w:rPr>
          <w:rFonts w:ascii="Aptos" w:eastAsia="Times New Roman" w:hAnsi="Aptos" w:cs="Arial"/>
          <w:b/>
          <w:bCs/>
          <w:color w:val="002060"/>
        </w:rPr>
        <w:t>The move is expected to mark a major shift from traditional paper-based verification to data-driven governance.</w:t>
      </w:r>
      <w:bookmarkEnd w:id="1092"/>
    </w:p>
    <w:p w14:paraId="385884AE"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Under the Government's Decree No. 357/2025/ND-CP, dated December 31, 2025, which will take effect on March 1, 2026, Provincial-level Department of Construction will assign digital ID codes to all properties from March 1, 2026, according to a report from the Government News</w:t>
      </w:r>
    </w:p>
    <w:p w14:paraId="36E6C986"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The move is expected to mark a major shift from traditional paper-based verification to data-driven governance.</w:t>
      </w:r>
    </w:p>
    <w:p w14:paraId="4ECDEA01"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The introduction of electronic identification codes aims to increase market transparency; reduce information asymmetry; strengthen state oversight and fraud prevention; improve interoperability between government agencies and build the foundation for the long-term digital transformation of Viet Nam's property market</w:t>
      </w:r>
    </w:p>
    <w:p w14:paraId="4C96F76A"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 xml:space="preserve">Industry observers say the policy could also accelerate new digital services, including automated verification for notaries, banks, and potential integration with </w:t>
      </w:r>
      <w:proofErr w:type="spellStart"/>
      <w:r w:rsidRPr="003813C9">
        <w:rPr>
          <w:rFonts w:ascii="Aptos" w:eastAsia="Times New Roman" w:hAnsi="Aptos" w:cs="Arial"/>
          <w:color w:val="002060"/>
        </w:rPr>
        <w:t>proptech</w:t>
      </w:r>
      <w:proofErr w:type="spellEnd"/>
      <w:r w:rsidRPr="003813C9">
        <w:rPr>
          <w:rFonts w:ascii="Aptos" w:eastAsia="Times New Roman" w:hAnsi="Aptos" w:cs="Arial"/>
          <w:color w:val="002060"/>
        </w:rPr>
        <w:t>, fintech, and real estate trading platforms.</w:t>
      </w:r>
    </w:p>
    <w:p w14:paraId="569E692F"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b/>
          <w:bCs/>
          <w:color w:val="002060"/>
        </w:rPr>
        <w:t>Each house and land plot to receive a unique digital code</w:t>
      </w:r>
    </w:p>
    <w:p w14:paraId="16361B73"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Under the Decree, every house, land plot, and real estate product in a construction investment project will be assigned a separate electronic identification code, unique throughout its entire management lifecycle.</w:t>
      </w:r>
    </w:p>
    <w:p w14:paraId="34C7C96B"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Each code will be linked to all state-managed property data, including: (</w:t>
      </w:r>
      <w:proofErr w:type="spellStart"/>
      <w:r w:rsidRPr="003813C9">
        <w:rPr>
          <w:rFonts w:ascii="Aptos" w:eastAsia="Times New Roman" w:hAnsi="Aptos" w:cs="Arial"/>
          <w:color w:val="002060"/>
        </w:rPr>
        <w:t>i</w:t>
      </w:r>
      <w:proofErr w:type="spellEnd"/>
      <w:r w:rsidRPr="003813C9">
        <w:rPr>
          <w:rFonts w:ascii="Aptos" w:eastAsia="Times New Roman" w:hAnsi="Aptos" w:cs="Arial"/>
          <w:color w:val="002060"/>
        </w:rPr>
        <w:t>) land plot information; (ii) construction works and project details; (iii) legal status; (iv) transaction and registration history and (v) other management data as prescribed by law.</w:t>
      </w:r>
    </w:p>
    <w:p w14:paraId="6F86E203"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The Decree emphasizes that the electronic identification code does not replace the Certificate of Land Use Rights and House Ownership (commonly known as the "Red Book"), but functions as a digital management tool for state agencies, enabling data exploitation, interconnection, and sharing across systems.</w:t>
      </w:r>
    </w:p>
    <w:p w14:paraId="24998C9F"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According to Clause 5, Article 3 of the decree, the identification code is a string of letters and digits, with a maximum length of 40 characters.</w:t>
      </w:r>
    </w:p>
    <w:p w14:paraId="31B4693C"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For properties categorized as houses (including apartments and detached homes), the code structure is defined in Appendix I of the decree, comprising four main data field groups:</w:t>
      </w:r>
    </w:p>
    <w:p w14:paraId="7135E27C"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lastRenderedPageBreak/>
        <w:t>The codes will be automatically generated by the national information system. The Department of Construction will attach the codes to housing development projects simultaneously when issuing eligibility notices for off-plan or future-formed property sales.</w:t>
      </w:r>
    </w:p>
    <w:p w14:paraId="3B3E9806"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From 2026 onward, individuals and businesses conducting real estate transactions will verify property information through official digital channels, such as: local land registration offices, notarization-based information confirmation procedures, and the Government's national housing and real estate market database system.</w:t>
      </w:r>
    </w:p>
    <w:p w14:paraId="021A9FD6" w14:textId="77777777" w:rsidR="0071382F" w:rsidRDefault="0071382F" w:rsidP="0071382F">
      <w:pPr>
        <w:spacing w:after="161" w:line="240" w:lineRule="auto"/>
        <w:outlineLvl w:val="0"/>
        <w:rPr>
          <w:rFonts w:ascii="Times New Roman" w:eastAsia="Times New Roman" w:hAnsi="Times New Roman" w:cs="Times New Roman"/>
          <w:color w:val="000000"/>
          <w:kern w:val="36"/>
          <w:sz w:val="45"/>
          <w:szCs w:val="45"/>
        </w:rPr>
      </w:pPr>
    </w:p>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14:paraId="0974C56A" w14:textId="77E7149A" w:rsidR="00881894" w:rsidRDefault="00245E42" w:rsidP="008818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49076B8A" w14:textId="77777777" w:rsidR="002632D8" w:rsidRPr="003813C9" w:rsidRDefault="002632D8" w:rsidP="00881894">
      <w:pPr>
        <w:spacing w:line="288" w:lineRule="auto"/>
        <w:jc w:val="right"/>
        <w:rPr>
          <w:rStyle w:val="Hyperlink"/>
          <w:rFonts w:ascii="Aptos" w:eastAsia="Malgun Gothic" w:hAnsi="Aptos" w:cs="Times New Roman"/>
          <w:color w:val="002060"/>
          <w:sz w:val="28"/>
          <w:szCs w:val="28"/>
        </w:rPr>
      </w:pPr>
    </w:p>
    <w:p w14:paraId="3E333628" w14:textId="77777777" w:rsidR="003813C9" w:rsidRPr="003813C9" w:rsidRDefault="003813C9" w:rsidP="003813C9">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93" w:name="_Toc218772683"/>
      <w:r w:rsidRPr="003813C9">
        <w:rPr>
          <w:rFonts w:ascii="Aptos" w:eastAsia="Times New Roman" w:hAnsi="Aptos" w:cs="Times New Roman"/>
          <w:b/>
          <w:bCs/>
          <w:color w:val="002060"/>
          <w:kern w:val="36"/>
          <w:sz w:val="28"/>
          <w:szCs w:val="28"/>
        </w:rPr>
        <w:t>Hanoi announces 39 projects designated for social housing investment</w:t>
      </w:r>
      <w:bookmarkEnd w:id="1093"/>
    </w:p>
    <w:p w14:paraId="4DB16031" w14:textId="5EEE82DB" w:rsidR="003813C9" w:rsidRPr="003813C9" w:rsidRDefault="003813C9" w:rsidP="003813C9">
      <w:pPr>
        <w:spacing w:after="0" w:line="288" w:lineRule="auto"/>
        <w:jc w:val="both"/>
        <w:rPr>
          <w:rFonts w:ascii="Aptos" w:eastAsia="Times New Roman" w:hAnsi="Aptos" w:cs="Times New Roman"/>
          <w:i/>
          <w:iCs/>
          <w:color w:val="002060"/>
          <w:sz w:val="18"/>
          <w:szCs w:val="18"/>
        </w:rPr>
      </w:pPr>
      <w:r w:rsidRPr="003813C9">
        <w:rPr>
          <w:rFonts w:ascii="Aptos" w:eastAsia="Times New Roman" w:hAnsi="Aptos" w:cs="Times New Roman"/>
          <w:i/>
          <w:iCs/>
          <w:color w:val="002060"/>
          <w:sz w:val="18"/>
          <w:szCs w:val="18"/>
        </w:rPr>
        <w:t>VET</w:t>
      </w:r>
    </w:p>
    <w:p w14:paraId="638EFAF8" w14:textId="77777777" w:rsidR="003813C9" w:rsidRPr="003813C9" w:rsidRDefault="003813C9" w:rsidP="003813C9">
      <w:pPr>
        <w:spacing w:after="0" w:line="288" w:lineRule="auto"/>
        <w:jc w:val="both"/>
        <w:rPr>
          <w:rFonts w:ascii="Aptos" w:eastAsia="Times New Roman" w:hAnsi="Aptos" w:cs="Times New Roman"/>
          <w:color w:val="002060"/>
        </w:rPr>
      </w:pPr>
    </w:p>
    <w:p w14:paraId="28C41277" w14:textId="77777777" w:rsidR="003813C9" w:rsidRPr="003813C9" w:rsidRDefault="003813C9" w:rsidP="003813C9">
      <w:pPr>
        <w:spacing w:after="100" w:afterAutospacing="1" w:line="288" w:lineRule="auto"/>
        <w:jc w:val="both"/>
        <w:outlineLvl w:val="1"/>
        <w:rPr>
          <w:rFonts w:ascii="Aptos" w:eastAsia="Times New Roman" w:hAnsi="Aptos" w:cs="Arial"/>
          <w:b/>
          <w:bCs/>
          <w:color w:val="002060"/>
        </w:rPr>
      </w:pPr>
      <w:bookmarkStart w:id="1094" w:name="_Toc218772684"/>
      <w:r w:rsidRPr="003813C9">
        <w:rPr>
          <w:rFonts w:ascii="Aptos" w:eastAsia="Times New Roman" w:hAnsi="Aptos" w:cs="Arial"/>
          <w:b/>
          <w:bCs/>
          <w:color w:val="002060"/>
        </w:rPr>
        <w:t>This initiative is part of the city’s broader goal to complete 120,000 social housing units during the 2026–2030 period.</w:t>
      </w:r>
      <w:bookmarkEnd w:id="1094"/>
    </w:p>
    <w:p w14:paraId="332F0770"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 xml:space="preserve">The Hanoi People's Committee has officially announced a list of 39 projects designated for social housing investment (Phase 1), with a </w:t>
      </w:r>
      <w:proofErr w:type="gramStart"/>
      <w:r w:rsidRPr="003813C9">
        <w:rPr>
          <w:rFonts w:ascii="Aptos" w:eastAsia="Times New Roman" w:hAnsi="Aptos" w:cs="Arial"/>
          <w:color w:val="002060"/>
        </w:rPr>
        <w:t>total  investment</w:t>
      </w:r>
      <w:proofErr w:type="gramEnd"/>
      <w:r w:rsidRPr="003813C9">
        <w:rPr>
          <w:rFonts w:ascii="Aptos" w:eastAsia="Times New Roman" w:hAnsi="Aptos" w:cs="Arial"/>
          <w:color w:val="002060"/>
        </w:rPr>
        <w:t xml:space="preserve"> capital estimated at more than </w:t>
      </w:r>
      <w:proofErr w:type="spellStart"/>
      <w:r w:rsidRPr="003813C9">
        <w:rPr>
          <w:rFonts w:ascii="Aptos" w:eastAsia="Times New Roman" w:hAnsi="Aptos" w:cs="Arial"/>
          <w:color w:val="002060"/>
        </w:rPr>
        <w:t>VND71.5</w:t>
      </w:r>
      <w:proofErr w:type="spellEnd"/>
      <w:r w:rsidRPr="003813C9">
        <w:rPr>
          <w:rFonts w:ascii="Aptos" w:eastAsia="Times New Roman" w:hAnsi="Aptos" w:cs="Arial"/>
          <w:color w:val="002060"/>
        </w:rPr>
        <w:t xml:space="preserve"> trillion (over $2.7 billion).</w:t>
      </w:r>
    </w:p>
    <w:p w14:paraId="2E3D2609"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These projects are distributed across various areas, including Noi Bai, Da Phuc, Soc Son, and Hat Mon, aimed at meeting the housing needs of policy beneficiaries under the 2023 Housing Law.</w:t>
      </w:r>
    </w:p>
    <w:p w14:paraId="7AE8F2A5"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The People's Committee stated that the announcement aims to develop social housing for those eligible for housing support policies.</w:t>
      </w:r>
    </w:p>
    <w:p w14:paraId="55B199CD"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This initiative is part of the city’s broader goal to complete 120,000 social housing units during the 2026–2030 period. Additionally, the plan serves to realize the adjustments to Hanoi's General Planning, zoning and detailed planning, as well as the city’s Housing Development Program for 2021–2030 and the Housing Development Plan for 2021–2025 previously approved by the municipal government.</w:t>
      </w:r>
    </w:p>
    <w:p w14:paraId="1966430A"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 xml:space="preserve">Regarding the application process, the Hanoi Public Administration Service Center (located at 258 </w:t>
      </w:r>
      <w:proofErr w:type="gramStart"/>
      <w:r w:rsidRPr="003813C9">
        <w:rPr>
          <w:rFonts w:ascii="Aptos" w:eastAsia="Times New Roman" w:hAnsi="Aptos" w:cs="Arial"/>
          <w:color w:val="002060"/>
        </w:rPr>
        <w:t>Vo Chi Cong road</w:t>
      </w:r>
      <w:proofErr w:type="gramEnd"/>
      <w:r w:rsidRPr="003813C9">
        <w:rPr>
          <w:rFonts w:ascii="Aptos" w:eastAsia="Times New Roman" w:hAnsi="Aptos" w:cs="Arial"/>
          <w:color w:val="002060"/>
        </w:rPr>
        <w:t>, Tay Ho Ward) has been designated as the focal point for receiving investor proposals. These applications will then be forwarded to the Department of Construction for appraisal.</w:t>
      </w:r>
    </w:p>
    <w:p w14:paraId="032689E3" w14:textId="77777777" w:rsidR="003813C9" w:rsidRPr="003813C9" w:rsidRDefault="003813C9" w:rsidP="003813C9">
      <w:pPr>
        <w:shd w:val="clear" w:color="auto" w:fill="FFFFFF"/>
        <w:spacing w:before="100" w:beforeAutospacing="1" w:after="100" w:afterAutospacing="1" w:line="288" w:lineRule="auto"/>
        <w:jc w:val="both"/>
        <w:rPr>
          <w:rFonts w:ascii="Aptos" w:eastAsia="Times New Roman" w:hAnsi="Aptos" w:cs="Arial"/>
          <w:color w:val="002060"/>
        </w:rPr>
      </w:pPr>
      <w:r w:rsidRPr="003813C9">
        <w:rPr>
          <w:rFonts w:ascii="Aptos" w:eastAsia="Times New Roman" w:hAnsi="Aptos" w:cs="Arial"/>
          <w:color w:val="002060"/>
        </w:rPr>
        <w:t>The deadline for submitting proposals is 30 days from the date the project information was publicly posted on the city’s official e-portal.</w:t>
      </w:r>
    </w:p>
    <w:p w14:paraId="1723C360" w14:textId="0A340131" w:rsidR="002632D8" w:rsidRPr="003813C9" w:rsidRDefault="003813C9" w:rsidP="003813C9">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3813C9">
        <w:rPr>
          <w:rFonts w:ascii="Aptos" w:eastAsia="Times New Roman" w:hAnsi="Aptos" w:cs="Arial"/>
          <w:color w:val="002060"/>
        </w:rPr>
        <w:t>The estimated timeline for project completion is approximately three years for land that has already undergone site clearance, and roughly four years for sites where clearance remains unfinished.</w:t>
      </w:r>
    </w:p>
    <w:bookmarkStart w:id="1095" w:name="_Toc150433306"/>
    <w:bookmarkStart w:id="1096" w:name="_Toc151040605"/>
    <w:bookmarkStart w:id="1097" w:name="_Toc151645186"/>
    <w:bookmarkStart w:id="1098" w:name="_Toc152248771"/>
    <w:bookmarkStart w:id="1099" w:name="_Toc153458096"/>
    <w:bookmarkStart w:id="1100" w:name="_Toc154061711"/>
    <w:bookmarkStart w:id="1101" w:name="_Toc185497345"/>
    <w:bookmarkStart w:id="1102" w:name="_Toc186722702"/>
    <w:bookmarkStart w:id="1103" w:name="_Toc187326028"/>
    <w:bookmarkStart w:id="1104" w:name="_Toc187919327"/>
    <w:bookmarkStart w:id="1105" w:name="_Toc188519320"/>
    <w:bookmarkStart w:id="1106" w:name="_Toc189746412"/>
    <w:bookmarkStart w:id="1107" w:name="_Toc190348434"/>
    <w:bookmarkStart w:id="1108" w:name="_Toc190954019"/>
    <w:bookmarkStart w:id="1109" w:name="_Toc191559705"/>
    <w:bookmarkStart w:id="1110" w:name="_Toc192153156"/>
    <w:bookmarkStart w:id="1111" w:name="_Toc192767040"/>
    <w:bookmarkStart w:id="1112" w:name="_Toc193361548"/>
    <w:bookmarkStart w:id="1113" w:name="_Toc193977740"/>
    <w:bookmarkStart w:id="1114" w:name="_Toc194671403"/>
    <w:bookmarkStart w:id="1115" w:name="_Toc195192240"/>
    <w:bookmarkStart w:id="1116" w:name="_Toc195795581"/>
    <w:bookmarkStart w:id="1117" w:name="_Toc196395808"/>
    <w:bookmarkStart w:id="1118" w:name="_Toc197596767"/>
    <w:bookmarkStart w:id="1119" w:name="_Toc198210656"/>
    <w:bookmarkStart w:id="1120" w:name="_Toc198816072"/>
    <w:bookmarkStart w:id="1121" w:name="_Toc199419434"/>
    <w:bookmarkStart w:id="1122" w:name="_Toc200013609"/>
    <w:bookmarkStart w:id="1123" w:name="_Toc200628582"/>
    <w:bookmarkStart w:id="1124" w:name="_Toc201837364"/>
    <w:bookmarkStart w:id="1125" w:name="_Toc202445702"/>
    <w:bookmarkStart w:id="1126" w:name="_Toc203047566"/>
    <w:bookmarkStart w:id="1127" w:name="_Toc203655869"/>
    <w:bookmarkStart w:id="1128" w:name="_Toc204262807"/>
    <w:bookmarkStart w:id="1129" w:name="_Toc204862966"/>
    <w:bookmarkStart w:id="1130" w:name="_Toc205466596"/>
    <w:bookmarkStart w:id="1131" w:name="_Toc206074512"/>
    <w:bookmarkStart w:id="1132" w:name="_Toc207184407"/>
    <w:bookmarkStart w:id="1133" w:name="_Toc207888613"/>
    <w:bookmarkStart w:id="1134" w:name="_Toc208493636"/>
    <w:bookmarkStart w:id="1135" w:name="_Toc208493714"/>
    <w:bookmarkStart w:id="1136" w:name="_Toc209099457"/>
    <w:bookmarkStart w:id="1137" w:name="_Toc209702686"/>
    <w:bookmarkStart w:id="1138"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39" w:name="_Toc210911926"/>
      <w:bookmarkStart w:id="1140" w:name="_Toc210912018"/>
      <w:bookmarkStart w:id="1141" w:name="_Toc211518249"/>
      <w:bookmarkStart w:id="1142" w:name="_Toc212118933"/>
      <w:bookmarkStart w:id="1143" w:name="_Toc212726924"/>
      <w:bookmarkStart w:id="1144" w:name="_Toc213334262"/>
      <w:bookmarkStart w:id="1145" w:name="_Toc213924610"/>
      <w:bookmarkStart w:id="1146" w:name="_Toc214539951"/>
      <w:bookmarkStart w:id="1147" w:name="_Toc215144387"/>
      <w:bookmarkStart w:id="1148" w:name="_Toc215750966"/>
      <w:bookmarkStart w:id="1149" w:name="_Toc216355062"/>
      <w:bookmarkStart w:id="1150" w:name="_Toc216965812"/>
    </w:p>
    <w:p w14:paraId="23D4DA5E" w14:textId="6F47792E"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51" w:name="_Toc217639133"/>
      <w:bookmarkStart w:id="1152" w:name="_Toc218772685"/>
      <w:proofErr w:type="spellStart"/>
      <w:r w:rsidRPr="004C6CBE">
        <w:rPr>
          <w:rFonts w:ascii="Aptos" w:eastAsia="Malgun Gothic" w:hAnsi="Aptos" w:cs="Times New Roman"/>
          <w:color w:val="002060"/>
        </w:rPr>
        <w:t>OIL&amp;GAS&amp;</w:t>
      </w:r>
      <w:hyperlink r:id="rId9"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Pr="004C6CBE">
        <w:rPr>
          <w:rFonts w:ascii="Aptos" w:eastAsia="Malgun Gothic" w:hAnsi="Aptos" w:cs="Times New Roman"/>
          <w:color w:val="002060"/>
        </w:rPr>
        <w:t>G</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roofErr w:type="spellEnd"/>
    </w:p>
    <w:p w14:paraId="39CF88FB" w14:textId="77777777" w:rsidR="007D1B3B" w:rsidRDefault="007D1B3B" w:rsidP="007D1B3B">
      <w:pPr>
        <w:spacing w:after="161" w:line="240" w:lineRule="auto"/>
        <w:outlineLvl w:val="0"/>
        <w:rPr>
          <w:rFonts w:ascii="Times New Roman" w:eastAsia="Times New Roman" w:hAnsi="Times New Roman" w:cs="Times New Roman"/>
          <w:color w:val="000000"/>
          <w:kern w:val="36"/>
          <w:sz w:val="45"/>
          <w:szCs w:val="45"/>
        </w:rPr>
      </w:pPr>
      <w:bookmarkStart w:id="1153" w:name="_Toc203655872"/>
      <w:bookmarkStart w:id="1154" w:name="_Toc204262810"/>
      <w:bookmarkStart w:id="1155" w:name="_Toc204862970"/>
      <w:bookmarkStart w:id="1156" w:name="_Toc205466601"/>
      <w:bookmarkStart w:id="1157" w:name="_Toc206074516"/>
      <w:bookmarkStart w:id="1158" w:name="_Toc203047572"/>
      <w:bookmarkEnd w:id="1049"/>
      <w:bookmarkEnd w:id="1050"/>
      <w:bookmarkEnd w:id="1051"/>
      <w:bookmarkEnd w:id="1052"/>
      <w:bookmarkEnd w:id="1053"/>
      <w:bookmarkEnd w:id="1054"/>
      <w:bookmarkEnd w:id="1055"/>
      <w:bookmarkEnd w:id="1056"/>
    </w:p>
    <w:p w14:paraId="278E24E5" w14:textId="06D1CDC4" w:rsidR="009C70BE" w:rsidRPr="009C70BE" w:rsidRDefault="009C70BE" w:rsidP="007D1B3B">
      <w:pPr>
        <w:spacing w:after="161" w:line="288" w:lineRule="auto"/>
        <w:jc w:val="both"/>
        <w:outlineLvl w:val="0"/>
        <w:rPr>
          <w:rFonts w:ascii="Aptos" w:eastAsia="Times New Roman" w:hAnsi="Aptos" w:cs="Times New Roman"/>
          <w:b/>
          <w:bCs/>
          <w:color w:val="002060"/>
          <w:kern w:val="36"/>
          <w:sz w:val="28"/>
          <w:szCs w:val="28"/>
        </w:rPr>
      </w:pPr>
      <w:bookmarkStart w:id="1159" w:name="_Toc218772686"/>
      <w:r w:rsidRPr="009C70BE">
        <w:rPr>
          <w:rFonts w:ascii="Aptos" w:eastAsia="Times New Roman" w:hAnsi="Aptos" w:cs="Times New Roman"/>
          <w:b/>
          <w:bCs/>
          <w:color w:val="002060"/>
          <w:kern w:val="36"/>
          <w:sz w:val="28"/>
          <w:szCs w:val="28"/>
        </w:rPr>
        <w:t xml:space="preserve">GE </w:t>
      </w:r>
      <w:proofErr w:type="spellStart"/>
      <w:r w:rsidRPr="009C70BE">
        <w:rPr>
          <w:rFonts w:ascii="Aptos" w:eastAsia="Times New Roman" w:hAnsi="Aptos" w:cs="Times New Roman"/>
          <w:b/>
          <w:bCs/>
          <w:color w:val="002060"/>
          <w:kern w:val="36"/>
          <w:sz w:val="28"/>
          <w:szCs w:val="28"/>
        </w:rPr>
        <w:t>Vernova</w:t>
      </w:r>
      <w:proofErr w:type="spellEnd"/>
      <w:r w:rsidRPr="009C70BE">
        <w:rPr>
          <w:rFonts w:ascii="Aptos" w:eastAsia="Times New Roman" w:hAnsi="Aptos" w:cs="Times New Roman"/>
          <w:b/>
          <w:bCs/>
          <w:color w:val="002060"/>
          <w:kern w:val="36"/>
          <w:sz w:val="28"/>
          <w:szCs w:val="28"/>
        </w:rPr>
        <w:t xml:space="preserve"> powers up Vietnam with first </w:t>
      </w:r>
      <w:proofErr w:type="spellStart"/>
      <w:r w:rsidRPr="009C70BE">
        <w:rPr>
          <w:rFonts w:ascii="Aptos" w:eastAsia="Times New Roman" w:hAnsi="Aptos" w:cs="Times New Roman"/>
          <w:b/>
          <w:bCs/>
          <w:color w:val="002060"/>
          <w:kern w:val="36"/>
          <w:sz w:val="28"/>
          <w:szCs w:val="28"/>
        </w:rPr>
        <w:t>9HA</w:t>
      </w:r>
      <w:proofErr w:type="spellEnd"/>
      <w:r w:rsidRPr="009C70BE">
        <w:rPr>
          <w:rFonts w:ascii="Aptos" w:eastAsia="Times New Roman" w:hAnsi="Aptos" w:cs="Times New Roman"/>
          <w:b/>
          <w:bCs/>
          <w:color w:val="002060"/>
          <w:kern w:val="36"/>
          <w:sz w:val="28"/>
          <w:szCs w:val="28"/>
        </w:rPr>
        <w:t xml:space="preserve"> gas power plant in the country</w:t>
      </w:r>
      <w:bookmarkEnd w:id="1159"/>
    </w:p>
    <w:p w14:paraId="4D9A9AC3" w14:textId="7447F012" w:rsidR="009C70BE" w:rsidRPr="009C70BE" w:rsidRDefault="007D1B3B" w:rsidP="007D1B3B">
      <w:pPr>
        <w:spacing w:after="150" w:line="288" w:lineRule="auto"/>
        <w:jc w:val="both"/>
        <w:rPr>
          <w:rFonts w:ascii="Aptos" w:eastAsia="Times New Roman" w:hAnsi="Aptos" w:cs="Times New Roman"/>
          <w:i/>
          <w:iCs/>
          <w:color w:val="002060"/>
          <w:sz w:val="18"/>
          <w:szCs w:val="18"/>
        </w:rPr>
      </w:pPr>
      <w:r w:rsidRPr="007D1B3B">
        <w:rPr>
          <w:rFonts w:ascii="Aptos" w:eastAsia="Times New Roman" w:hAnsi="Aptos" w:cs="Times New Roman"/>
          <w:i/>
          <w:iCs/>
          <w:color w:val="002060"/>
          <w:sz w:val="18"/>
          <w:szCs w:val="18"/>
        </w:rPr>
        <w:t>VIR</w:t>
      </w:r>
    </w:p>
    <w:p w14:paraId="3F301B02" w14:textId="77777777" w:rsidR="009C70BE" w:rsidRPr="009C70BE" w:rsidRDefault="009C70BE" w:rsidP="007D1B3B">
      <w:pPr>
        <w:spacing w:after="150"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GE </w:t>
      </w:r>
      <w:proofErr w:type="spellStart"/>
      <w:r w:rsidRPr="009C70BE">
        <w:rPr>
          <w:rFonts w:ascii="Aptos" w:eastAsia="Times New Roman" w:hAnsi="Aptos" w:cs="Times New Roman"/>
          <w:color w:val="002060"/>
        </w:rPr>
        <w:t>Vernova</w:t>
      </w:r>
      <w:proofErr w:type="spellEnd"/>
      <w:r w:rsidRPr="009C70BE">
        <w:rPr>
          <w:rFonts w:ascii="Aptos" w:eastAsia="Times New Roman" w:hAnsi="Aptos" w:cs="Times New Roman"/>
          <w:color w:val="002060"/>
        </w:rPr>
        <w:t xml:space="preserve"> Inc has announced the start of commercial operations of </w:t>
      </w:r>
      <w:proofErr w:type="spellStart"/>
      <w:r w:rsidRPr="009C70BE">
        <w:rPr>
          <w:rFonts w:ascii="Aptos" w:eastAsia="Times New Roman" w:hAnsi="Aptos" w:cs="Times New Roman"/>
          <w:color w:val="002060"/>
        </w:rPr>
        <w:t>Petrovietnam</w:t>
      </w:r>
      <w:proofErr w:type="spellEnd"/>
      <w:r w:rsidRPr="009C70BE">
        <w:rPr>
          <w:rFonts w:ascii="Aptos" w:eastAsia="Times New Roman" w:hAnsi="Aptos" w:cs="Times New Roman"/>
          <w:color w:val="002060"/>
        </w:rPr>
        <w:t xml:space="preserve"> Power Corporation (PV Power)’s Nhon Trach 3&amp;4 1.6-GW power plant in Ong </w:t>
      </w:r>
      <w:proofErr w:type="spellStart"/>
      <w:r w:rsidRPr="009C70BE">
        <w:rPr>
          <w:rFonts w:ascii="Aptos" w:eastAsia="Times New Roman" w:hAnsi="Aptos" w:cs="Times New Roman"/>
          <w:color w:val="002060"/>
        </w:rPr>
        <w:t>Keo</w:t>
      </w:r>
      <w:proofErr w:type="spellEnd"/>
      <w:r w:rsidRPr="009C70BE">
        <w:rPr>
          <w:rFonts w:ascii="Aptos" w:eastAsia="Times New Roman" w:hAnsi="Aptos" w:cs="Times New Roman"/>
          <w:color w:val="002060"/>
        </w:rPr>
        <w:t xml:space="preserve"> Industrial Park, 70 km southeast of Ho Chi Minh City.</w:t>
      </w:r>
    </w:p>
    <w:p w14:paraId="70049F6C"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The announcement was made on January 5.</w:t>
      </w:r>
    </w:p>
    <w:p w14:paraId="7C64D6B6"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Nhon Trach 3&amp;4 power plant, built by the engineering, procurement, and construction companies Samsung </w:t>
      </w:r>
      <w:proofErr w:type="spellStart"/>
      <w:r w:rsidRPr="009C70BE">
        <w:rPr>
          <w:rFonts w:ascii="Aptos" w:eastAsia="Times New Roman" w:hAnsi="Aptos" w:cs="Times New Roman"/>
          <w:color w:val="002060"/>
        </w:rPr>
        <w:t>C&amp;T</w:t>
      </w:r>
      <w:proofErr w:type="spellEnd"/>
      <w:r w:rsidRPr="009C70BE">
        <w:rPr>
          <w:rFonts w:ascii="Aptos" w:eastAsia="Times New Roman" w:hAnsi="Aptos" w:cs="Times New Roman"/>
          <w:color w:val="002060"/>
        </w:rPr>
        <w:t xml:space="preserve"> and </w:t>
      </w:r>
      <w:proofErr w:type="spellStart"/>
      <w:r w:rsidRPr="009C70BE">
        <w:rPr>
          <w:rFonts w:ascii="Aptos" w:eastAsia="Times New Roman" w:hAnsi="Aptos" w:cs="Times New Roman"/>
          <w:color w:val="002060"/>
        </w:rPr>
        <w:t>Lilama</w:t>
      </w:r>
      <w:proofErr w:type="spellEnd"/>
      <w:r w:rsidRPr="009C70BE">
        <w:rPr>
          <w:rFonts w:ascii="Aptos" w:eastAsia="Times New Roman" w:hAnsi="Aptos" w:cs="Times New Roman"/>
          <w:color w:val="002060"/>
        </w:rPr>
        <w:t>, marks the first HA-powered plant in Vietnam, as well as the first to be powered by liquefied natural gas.</w:t>
      </w:r>
    </w:p>
    <w:p w14:paraId="438DF449"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According to the revised Power Development Plan VIII, LNG remains central to the flexible generation mix, with a capacity of more than 22 GW projected for 2030, accounting for 9.5-12.3 per cent of the national system.</w:t>
      </w:r>
    </w:p>
    <w:p w14:paraId="37E16B36"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Nhon Trach 3&amp;4 is expected to play a crucial role in meeting the growing electricity demand in the southern region of Vietnam and contribute to the country's sustainable development goals.</w:t>
      </w:r>
    </w:p>
    <w:p w14:paraId="5DDAD686"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This project marks the expansion of gas-fired power generation and accelerates the transition from coal to gas. </w:t>
      </w:r>
      <w:hyperlink r:id="rId10" w:history="1">
        <w:r w:rsidRPr="009C70BE">
          <w:rPr>
            <w:rFonts w:ascii="Aptos" w:eastAsia="Times New Roman" w:hAnsi="Aptos" w:cs="Times New Roman"/>
            <w:color w:val="002060"/>
            <w:u w:val="single"/>
          </w:rPr>
          <w:t xml:space="preserve">GE </w:t>
        </w:r>
        <w:proofErr w:type="spellStart"/>
        <w:r w:rsidRPr="009C70BE">
          <w:rPr>
            <w:rFonts w:ascii="Aptos" w:eastAsia="Times New Roman" w:hAnsi="Aptos" w:cs="Times New Roman"/>
            <w:color w:val="002060"/>
            <w:u w:val="single"/>
          </w:rPr>
          <w:t>Vernova</w:t>
        </w:r>
      </w:hyperlink>
      <w:r w:rsidRPr="009C70BE">
        <w:rPr>
          <w:rFonts w:ascii="Aptos" w:eastAsia="Times New Roman" w:hAnsi="Aptos" w:cs="Times New Roman"/>
          <w:color w:val="002060"/>
        </w:rPr>
        <w:t>’s</w:t>
      </w:r>
      <w:proofErr w:type="spellEnd"/>
      <w:r w:rsidRPr="009C70BE">
        <w:rPr>
          <w:rFonts w:ascii="Aptos" w:eastAsia="Times New Roman" w:hAnsi="Aptos" w:cs="Times New Roman"/>
          <w:color w:val="002060"/>
        </w:rPr>
        <w:t xml:space="preserve"> H-class leading technology </w:t>
      </w:r>
      <w:proofErr w:type="spellStart"/>
      <w:r w:rsidRPr="009C70BE">
        <w:rPr>
          <w:rFonts w:ascii="Aptos" w:eastAsia="Times New Roman" w:hAnsi="Aptos" w:cs="Times New Roman"/>
          <w:color w:val="002060"/>
        </w:rPr>
        <w:t>fuelled</w:t>
      </w:r>
      <w:proofErr w:type="spellEnd"/>
      <w:r w:rsidRPr="009C70BE">
        <w:rPr>
          <w:rFonts w:ascii="Aptos" w:eastAsia="Times New Roman" w:hAnsi="Aptos" w:cs="Times New Roman"/>
          <w:color w:val="002060"/>
        </w:rPr>
        <w:t xml:space="preserve"> by highly efficient natural gas generates a lower environmental impact, with approximately 60 per cent less carbon emissions compared to thermal plants of same electrical output powered by coal. In addition, this project can expedite the integration of renewable energy sources by improving the reliability and stability of the energy grid.</w:t>
      </w:r>
    </w:p>
    <w:p w14:paraId="2F64BFB4"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"Vietnam’s energy transition requires solutions that balance capacity, efficiency, and sustainability, which is why we chose 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w:t>
      </w:r>
      <w:proofErr w:type="spellStart"/>
      <w:r w:rsidRPr="009C70BE">
        <w:rPr>
          <w:rFonts w:ascii="Aptos" w:eastAsia="Times New Roman" w:hAnsi="Aptos" w:cs="Times New Roman"/>
          <w:color w:val="002060"/>
        </w:rPr>
        <w:t>9HA.02</w:t>
      </w:r>
      <w:proofErr w:type="spellEnd"/>
      <w:r w:rsidRPr="009C70BE">
        <w:rPr>
          <w:rFonts w:ascii="Aptos" w:eastAsia="Times New Roman" w:hAnsi="Aptos" w:cs="Times New Roman"/>
          <w:color w:val="002060"/>
        </w:rPr>
        <w:t xml:space="preserve"> gas turbines for Nhon Trach 3&amp;4,” said a representative from PV Power. “GE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advanced </w:t>
      </w:r>
      <w:proofErr w:type="spellStart"/>
      <w:r w:rsidRPr="009C70BE">
        <w:rPr>
          <w:rFonts w:ascii="Aptos" w:eastAsia="Times New Roman" w:hAnsi="Aptos" w:cs="Times New Roman"/>
          <w:color w:val="002060"/>
        </w:rPr>
        <w:t>9HA.02</w:t>
      </w:r>
      <w:proofErr w:type="spellEnd"/>
      <w:r w:rsidRPr="009C70BE">
        <w:rPr>
          <w:rFonts w:ascii="Aptos" w:eastAsia="Times New Roman" w:hAnsi="Aptos" w:cs="Times New Roman"/>
          <w:color w:val="002060"/>
        </w:rPr>
        <w:t xml:space="preserve"> gas turbine is central to our commitment to modern energy standards. It enables the plant to achieve greater than 63 per cent combined cycle efficiency, ranking it among the world’s most efficient facilities. Additionally, the </w:t>
      </w:r>
      <w:proofErr w:type="spellStart"/>
      <w:r w:rsidRPr="009C70BE">
        <w:rPr>
          <w:rFonts w:ascii="Aptos" w:eastAsia="Times New Roman" w:hAnsi="Aptos" w:cs="Times New Roman"/>
          <w:color w:val="002060"/>
        </w:rPr>
        <w:t>9HA.02</w:t>
      </w:r>
      <w:proofErr w:type="spellEnd"/>
      <w:r w:rsidRPr="009C70BE">
        <w:rPr>
          <w:rFonts w:ascii="Aptos" w:eastAsia="Times New Roman" w:hAnsi="Aptos" w:cs="Times New Roman"/>
          <w:color w:val="002060"/>
        </w:rPr>
        <w:t xml:space="preserve"> meets the strictest emission regulations, offers versatile fuel-switching capabilities – operating on LNG now, supporting up to 50 per cent hydrogen co-firing, and paving the way for 100 per cent hydrogen use in the future – ensuring alignment with Vietnam’s net-zero goals for decades.”</w:t>
      </w:r>
    </w:p>
    <w:p w14:paraId="471B1AE1"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For this project, GE </w:t>
      </w:r>
      <w:proofErr w:type="spellStart"/>
      <w:r w:rsidRPr="009C70BE">
        <w:rPr>
          <w:rFonts w:ascii="Aptos" w:eastAsia="Times New Roman" w:hAnsi="Aptos" w:cs="Times New Roman"/>
          <w:color w:val="002060"/>
        </w:rPr>
        <w:t>Vernova</w:t>
      </w:r>
      <w:proofErr w:type="spellEnd"/>
      <w:r w:rsidRPr="009C70BE">
        <w:rPr>
          <w:rFonts w:ascii="Aptos" w:eastAsia="Times New Roman" w:hAnsi="Aptos" w:cs="Times New Roman"/>
          <w:color w:val="002060"/>
        </w:rPr>
        <w:t xml:space="preserve"> provided two blocks of more than 800 MW each, including a </w:t>
      </w:r>
      <w:proofErr w:type="spellStart"/>
      <w:r w:rsidRPr="009C70BE">
        <w:rPr>
          <w:rFonts w:ascii="Aptos" w:eastAsia="Times New Roman" w:hAnsi="Aptos" w:cs="Times New Roman"/>
          <w:color w:val="002060"/>
        </w:rPr>
        <w:t>9HA.02</w:t>
      </w:r>
      <w:proofErr w:type="spellEnd"/>
      <w:r w:rsidRPr="009C70BE">
        <w:rPr>
          <w:rFonts w:ascii="Aptos" w:eastAsia="Times New Roman" w:hAnsi="Aptos" w:cs="Times New Roman"/>
          <w:color w:val="002060"/>
        </w:rPr>
        <w:t xml:space="preserve"> gas turbine, the company’s most efficient 50 Hz gas turbine, an </w:t>
      </w:r>
      <w:proofErr w:type="spellStart"/>
      <w:r w:rsidRPr="009C70BE">
        <w:rPr>
          <w:rFonts w:ascii="Aptos" w:eastAsia="Times New Roman" w:hAnsi="Aptos" w:cs="Times New Roman"/>
          <w:color w:val="002060"/>
        </w:rPr>
        <w:t>STF-D650</w:t>
      </w:r>
      <w:proofErr w:type="spellEnd"/>
      <w:r w:rsidRPr="009C70BE">
        <w:rPr>
          <w:rFonts w:ascii="Aptos" w:eastAsia="Times New Roman" w:hAnsi="Aptos" w:cs="Times New Roman"/>
          <w:color w:val="002060"/>
        </w:rPr>
        <w:t xml:space="preserve"> steam turbine, a </w:t>
      </w:r>
      <w:proofErr w:type="spellStart"/>
      <w:r w:rsidRPr="009C70BE">
        <w:rPr>
          <w:rFonts w:ascii="Aptos" w:eastAsia="Times New Roman" w:hAnsi="Aptos" w:cs="Times New Roman"/>
          <w:color w:val="002060"/>
        </w:rPr>
        <w:t>W88</w:t>
      </w:r>
      <w:proofErr w:type="spellEnd"/>
      <w:r w:rsidRPr="009C70BE">
        <w:rPr>
          <w:rFonts w:ascii="Aptos" w:eastAsia="Times New Roman" w:hAnsi="Aptos" w:cs="Times New Roman"/>
          <w:color w:val="002060"/>
        </w:rPr>
        <w:t xml:space="preserve"> generator, and a heat recovery steam generator. In addition, 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integrated Mark* </w:t>
      </w:r>
      <w:proofErr w:type="spellStart"/>
      <w:r w:rsidRPr="009C70BE">
        <w:rPr>
          <w:rFonts w:ascii="Aptos" w:eastAsia="Times New Roman" w:hAnsi="Aptos" w:cs="Times New Roman"/>
          <w:color w:val="002060"/>
        </w:rPr>
        <w:t>VIe</w:t>
      </w:r>
      <w:proofErr w:type="spellEnd"/>
      <w:r w:rsidRPr="009C70BE">
        <w:rPr>
          <w:rFonts w:ascii="Aptos" w:eastAsia="Times New Roman" w:hAnsi="Aptos" w:cs="Times New Roman"/>
          <w:color w:val="002060"/>
        </w:rPr>
        <w:t xml:space="preserve"> Distributed Control System will help PV Power improve asset visibility, reliability, and availability while reducing operation and maintenance costs.</w:t>
      </w:r>
    </w:p>
    <w:p w14:paraId="75E3164E" w14:textId="77777777" w:rsidR="009C70BE" w:rsidRPr="009C70BE" w:rsidRDefault="009C70BE" w:rsidP="007D1B3B">
      <w:pPr>
        <w:spacing w:after="225"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“Renewable energy is expected to grow significantly in Vietnam while at the same time, lower-carbon and highly efficient gas power generation will play a crucial role in supporting this growth while ensuring grid stability and reliability,” said Ramesh Singaram, president and CEO of 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Gas Power business in Asia-Pacific. “This </w:t>
      </w:r>
      <w:r w:rsidRPr="009C70BE">
        <w:rPr>
          <w:rFonts w:ascii="Aptos" w:eastAsia="Times New Roman" w:hAnsi="Aptos" w:cs="Times New Roman"/>
          <w:color w:val="002060"/>
        </w:rPr>
        <w:lastRenderedPageBreak/>
        <w:t xml:space="preserve">first of its kind project is expected to bring electricity for large industrial areas in the southern region including Ho Chi Minh City and Dong Nai province while </w:t>
      </w:r>
      <w:proofErr w:type="gramStart"/>
      <w:r w:rsidRPr="009C70BE">
        <w:rPr>
          <w:rFonts w:ascii="Aptos" w:eastAsia="Times New Roman" w:hAnsi="Aptos" w:cs="Times New Roman"/>
          <w:color w:val="002060"/>
        </w:rPr>
        <w:t>opening up</w:t>
      </w:r>
      <w:proofErr w:type="gramEnd"/>
      <w:r w:rsidRPr="009C70BE">
        <w:rPr>
          <w:rFonts w:ascii="Aptos" w:eastAsia="Times New Roman" w:hAnsi="Aptos" w:cs="Times New Roman"/>
          <w:color w:val="002060"/>
        </w:rPr>
        <w:t xml:space="preserve"> a new chapter for gas power generation in Vietnam. We are proud to execute the first HA project in the country, in alignment with its national energy goals for a more sustainable national economic growth.”</w:t>
      </w:r>
    </w:p>
    <w:p w14:paraId="3001EA66" w14:textId="4B6B76AE" w:rsidR="00B24D0A" w:rsidRPr="00CA51E5" w:rsidRDefault="009C70BE" w:rsidP="00CA51E5">
      <w:pPr>
        <w:spacing w:line="288" w:lineRule="auto"/>
        <w:jc w:val="both"/>
        <w:rPr>
          <w:rFonts w:ascii="Aptos" w:eastAsia="Times New Roman" w:hAnsi="Aptos" w:cs="Times New Roman"/>
          <w:color w:val="002060"/>
        </w:rPr>
      </w:pPr>
      <w:r w:rsidRPr="009C70BE">
        <w:rPr>
          <w:rFonts w:ascii="Aptos" w:eastAsia="Times New Roman" w:hAnsi="Aptos" w:cs="Times New Roman"/>
          <w:color w:val="002060"/>
        </w:rPr>
        <w:t xml:space="preserve">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equipment provides up to 30 per cent of the Vietnam’s electricity needs, with over 1,100 employees across 13 locations from various GE </w:t>
      </w:r>
      <w:proofErr w:type="spellStart"/>
      <w:r w:rsidRPr="009C70BE">
        <w:rPr>
          <w:rFonts w:ascii="Aptos" w:eastAsia="Times New Roman" w:hAnsi="Aptos" w:cs="Times New Roman"/>
          <w:color w:val="002060"/>
        </w:rPr>
        <w:t>Vernova</w:t>
      </w:r>
      <w:proofErr w:type="spellEnd"/>
      <w:r w:rsidRPr="009C70BE">
        <w:rPr>
          <w:rFonts w:ascii="Aptos" w:eastAsia="Times New Roman" w:hAnsi="Aptos" w:cs="Times New Roman"/>
          <w:color w:val="002060"/>
        </w:rPr>
        <w:t xml:space="preserve"> businesses throughout the country. 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global customers are served by a global network of repair and manufacturing capabilities which include GE </w:t>
      </w:r>
      <w:proofErr w:type="spellStart"/>
      <w:r w:rsidRPr="009C70BE">
        <w:rPr>
          <w:rFonts w:ascii="Aptos" w:eastAsia="Times New Roman" w:hAnsi="Aptos" w:cs="Times New Roman"/>
          <w:color w:val="002060"/>
        </w:rPr>
        <w:t>Vernova’s</w:t>
      </w:r>
      <w:proofErr w:type="spellEnd"/>
      <w:r w:rsidRPr="009C70BE">
        <w:rPr>
          <w:rFonts w:ascii="Aptos" w:eastAsia="Times New Roman" w:hAnsi="Aptos" w:cs="Times New Roman"/>
          <w:color w:val="002060"/>
        </w:rPr>
        <w:t xml:space="preserve"> Phu My repair facility and Dung Quat </w:t>
      </w:r>
      <w:proofErr w:type="spellStart"/>
      <w:r w:rsidRPr="009C70BE">
        <w:rPr>
          <w:rFonts w:ascii="Aptos" w:eastAsia="Times New Roman" w:hAnsi="Aptos" w:cs="Times New Roman"/>
          <w:color w:val="002060"/>
        </w:rPr>
        <w:t>HRSG</w:t>
      </w:r>
      <w:proofErr w:type="spellEnd"/>
      <w:r w:rsidRPr="009C70BE">
        <w:rPr>
          <w:rFonts w:ascii="Aptos" w:eastAsia="Times New Roman" w:hAnsi="Aptos" w:cs="Times New Roman"/>
          <w:color w:val="002060"/>
        </w:rPr>
        <w:t xml:space="preserve"> manufacturing plant in Vietnam, where the pressure part modules for this plant were manufactured within country.</w:t>
      </w:r>
    </w:p>
    <w:bookmarkEnd w:id="1153"/>
    <w:bookmarkEnd w:id="1154"/>
    <w:bookmarkEnd w:id="1155"/>
    <w:bookmarkEnd w:id="1156"/>
    <w:bookmarkEnd w:id="1157"/>
    <w:bookmarkEnd w:id="1158"/>
    <w:p w14:paraId="7F45BB76" w14:textId="7F9ACDDB" w:rsidR="00684BD2" w:rsidRPr="004C6CBE"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C350DE3" w14:textId="77777777" w:rsidR="00E25D20" w:rsidRPr="004C6CBE" w:rsidRDefault="00E25D20" w:rsidP="00687F12">
      <w:pPr>
        <w:pStyle w:val="Heading1"/>
        <w:shd w:val="clear" w:color="auto" w:fill="FFFFFF"/>
        <w:spacing w:before="0" w:line="288" w:lineRule="atLeast"/>
        <w:rPr>
          <w:rFonts w:ascii="Aptos" w:eastAsia="Malgun Gothic" w:hAnsi="Aptos" w:cs="Times New Roman"/>
          <w:color w:val="002060"/>
        </w:rPr>
      </w:pPr>
    </w:p>
    <w:p w14:paraId="4C62BD9F" w14:textId="2CAC954E" w:rsidR="00921001" w:rsidRPr="00921001" w:rsidRDefault="00921001" w:rsidP="00921001">
      <w:pPr>
        <w:spacing w:before="300" w:after="225" w:line="240" w:lineRule="auto"/>
        <w:outlineLvl w:val="0"/>
        <w:rPr>
          <w:rFonts w:ascii="Aptos" w:eastAsia="Times New Roman" w:hAnsi="Aptos" w:cs="Arial"/>
          <w:b/>
          <w:bCs/>
          <w:color w:val="002060"/>
          <w:kern w:val="36"/>
          <w:sz w:val="28"/>
          <w:szCs w:val="28"/>
        </w:rPr>
      </w:pPr>
      <w:bookmarkStart w:id="1160" w:name="_Toc218772687"/>
      <w:r w:rsidRPr="00921001">
        <w:rPr>
          <w:rFonts w:ascii="Aptos" w:eastAsia="Times New Roman" w:hAnsi="Aptos" w:cs="Arial"/>
          <w:b/>
          <w:bCs/>
          <w:color w:val="002060"/>
          <w:kern w:val="36"/>
          <w:sz w:val="28"/>
          <w:szCs w:val="28"/>
        </w:rPr>
        <w:t>Top 10 Landmark Events of Vietnam’s Energy Sector in 2025</w:t>
      </w:r>
      <w:bookmarkEnd w:id="1160"/>
    </w:p>
    <w:p w14:paraId="642C3F5F" w14:textId="77777777" w:rsidR="00921001" w:rsidRDefault="00921001" w:rsidP="00921001">
      <w:pPr>
        <w:spacing w:line="240" w:lineRule="auto"/>
        <w:jc w:val="both"/>
        <w:rPr>
          <w:rFonts w:ascii="Aptos" w:eastAsia="Times New Roman" w:hAnsi="Aptos" w:cs="Arial"/>
          <w:i/>
          <w:iCs/>
          <w:color w:val="002060"/>
          <w:sz w:val="18"/>
          <w:szCs w:val="18"/>
        </w:rPr>
      </w:pPr>
      <w:r w:rsidRPr="00921001">
        <w:rPr>
          <w:rFonts w:ascii="Aptos" w:eastAsia="Times New Roman" w:hAnsi="Aptos" w:cs="Arial"/>
          <w:i/>
          <w:iCs/>
          <w:color w:val="002060"/>
          <w:sz w:val="18"/>
          <w:szCs w:val="18"/>
        </w:rPr>
        <w:t>SCIENTIFIC COUNCIL OF VER</w:t>
      </w:r>
    </w:p>
    <w:p w14:paraId="54614DB9" w14:textId="77777777" w:rsidR="00921001" w:rsidRPr="00921001" w:rsidRDefault="00921001" w:rsidP="00921001">
      <w:pPr>
        <w:spacing w:line="240" w:lineRule="auto"/>
        <w:jc w:val="both"/>
        <w:rPr>
          <w:rFonts w:ascii="Aptos" w:eastAsia="Times New Roman" w:hAnsi="Aptos" w:cs="Arial"/>
          <w:i/>
          <w:iCs/>
          <w:color w:val="002060"/>
          <w:sz w:val="18"/>
          <w:szCs w:val="18"/>
        </w:rPr>
      </w:pPr>
    </w:p>
    <w:p w14:paraId="4DBAE685" w14:textId="280A42AC" w:rsidR="00921001" w:rsidRPr="00921001" w:rsidRDefault="00921001" w:rsidP="00921001">
      <w:pPr>
        <w:spacing w:line="240" w:lineRule="auto"/>
        <w:rPr>
          <w:rFonts w:ascii="Aptos" w:eastAsia="Times New Roman" w:hAnsi="Aptos" w:cs="Arial"/>
          <w:color w:val="002060"/>
        </w:rPr>
      </w:pPr>
      <w:r w:rsidRPr="00921001">
        <w:rPr>
          <w:rFonts w:ascii="Aptos" w:eastAsia="Times New Roman" w:hAnsi="Aptos" w:cs="Arial"/>
          <w:color w:val="002060"/>
        </w:rPr>
        <w:t xml:space="preserve">The year 2025 marked a critical inflection point in the development trajectory of Vietnam’s energy sector. Moving beyond plans on paper and prolonged policy </w:t>
      </w:r>
      <w:proofErr w:type="gramStart"/>
      <w:r w:rsidRPr="00921001">
        <w:rPr>
          <w:rFonts w:ascii="Aptos" w:eastAsia="Times New Roman" w:hAnsi="Aptos" w:cs="Arial"/>
          <w:color w:val="002060"/>
        </w:rPr>
        <w:t>debates,</w:t>
      </w:r>
      <w:proofErr w:type="gramEnd"/>
      <w:r w:rsidRPr="00921001">
        <w:rPr>
          <w:rFonts w:ascii="Aptos" w:eastAsia="Times New Roman" w:hAnsi="Aptos" w:cs="Arial"/>
          <w:color w:val="002060"/>
        </w:rPr>
        <w:t xml:space="preserve"> the year witnessed a clear shift from strategic orientation to concrete action. From the first LNG-fired power plants entering commercial operation to the initial steps toward reshaping electricity pricing structures based on market signals, Vietnam’s energy sector has moved past a phase of rapid expansion and entered an era of deeper, efficiency-driven optimization.</w:t>
      </w:r>
    </w:p>
    <w:p w14:paraId="162A4F3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Against this backdrop, the Scientific Council of Vietnam Energy Review selected the ten most significant energy events of 2025, offering a comprehensive and vivid overview of the major transformations shaping the national energy system over the past year.</w:t>
      </w:r>
    </w:p>
    <w:p w14:paraId="702CD13B"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year 2025 also saw Vietnam’s energy sector simultaneously accelerating its energy transition while facing unprecedented pressures. Increasingly extreme climate events, rapidly growing electricity demand, and an accelerated transition toward cleaner energy sources, combined with lagging generation capacity, transmission infrastructure, and market institutions, have placed the energy system under mounting stress in terms of security, efficiency, and sustainability.</w:t>
      </w:r>
    </w:p>
    <w:p w14:paraId="0263BAC0"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this context, decisions related to electricity, oil and gas, or coal are no longer purely technical or economic choices. Still, they are directly linked to macroeconomic stability and national energy security.</w:t>
      </w:r>
    </w:p>
    <w:p w14:paraId="47000408"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1. A Wave of New Policies and Regulatory Frameworks</w:t>
      </w:r>
    </w:p>
    <w:p w14:paraId="66A78E28"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year 2025 was widely regarded as a pivotal moment, as the revised Power Development Plan VIII (</w:t>
      </w:r>
      <w:proofErr w:type="spellStart"/>
      <w:r w:rsidRPr="00921001">
        <w:rPr>
          <w:rFonts w:ascii="Aptos" w:eastAsia="Times New Roman" w:hAnsi="Aptos" w:cs="Arial"/>
          <w:color w:val="002060"/>
        </w:rPr>
        <w:t>PDP8</w:t>
      </w:r>
      <w:proofErr w:type="spellEnd"/>
      <w:r w:rsidRPr="00921001">
        <w:rPr>
          <w:rFonts w:ascii="Aptos" w:eastAsia="Times New Roman" w:hAnsi="Aptos" w:cs="Arial"/>
          <w:color w:val="002060"/>
        </w:rPr>
        <w:t>) moved beyond strategic orientation toward concrete implementation through generation and grid investment decisions. Long-standing bottlenecks related to administrative procedures, project timelines, and project portfolios were gradually addressed. While progress remained uneven, this marked a fundamental shift from a “planning mindset” to a focus on executing the plan.</w:t>
      </w:r>
    </w:p>
    <w:p w14:paraId="450590EA"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parallel, 2025 witnessed strong institutional efforts by the Party, the National Assembly, the Government, and the Ministry of Industry and Trade to complete the legal framework for the energy sector. A series of key documents were adopted, including the Politburo’s Resolution No. 70-NQ/TW; the amended Law on Atomic Energy; the National Assembly’s resolution on mechanisms and policies for national energy development for the 2026–2030 period; along with decrees and circulars guiding the implementation of the Electricity Law No. 61/2024/</w:t>
      </w:r>
      <w:proofErr w:type="spellStart"/>
      <w:r w:rsidRPr="00921001">
        <w:rPr>
          <w:rFonts w:ascii="Aptos" w:eastAsia="Times New Roman" w:hAnsi="Aptos" w:cs="Arial"/>
          <w:color w:val="002060"/>
        </w:rPr>
        <w:t>QH15</w:t>
      </w:r>
      <w:proofErr w:type="spellEnd"/>
      <w:r w:rsidRPr="00921001">
        <w:rPr>
          <w:rFonts w:ascii="Aptos" w:eastAsia="Times New Roman" w:hAnsi="Aptos" w:cs="Arial"/>
          <w:color w:val="002060"/>
        </w:rPr>
        <w:t>.</w:t>
      </w:r>
    </w:p>
    <w:p w14:paraId="01952892"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Notably, several cornerstone regulations were issued, such as Decree No. 56/2025/ND-CP on power development planning, grid development schemes, and competitive bidding for power projects; Decree No. 57/2025/ND-CP on the Direct Power Purchase Agreement (</w:t>
      </w:r>
      <w:proofErr w:type="spellStart"/>
      <w:r w:rsidRPr="00921001">
        <w:rPr>
          <w:rFonts w:ascii="Aptos" w:eastAsia="Times New Roman" w:hAnsi="Aptos" w:cs="Arial"/>
          <w:color w:val="002060"/>
        </w:rPr>
        <w:t>DPPA</w:t>
      </w:r>
      <w:proofErr w:type="spellEnd"/>
      <w:r w:rsidRPr="00921001">
        <w:rPr>
          <w:rFonts w:ascii="Aptos" w:eastAsia="Times New Roman" w:hAnsi="Aptos" w:cs="Arial"/>
          <w:color w:val="002060"/>
        </w:rPr>
        <w:t xml:space="preserve">) mechanism; and Decree No. 58/2025/ND-CP on renewable and new energy sources. At the same time, the Ministry of Industry and Trade released timely circulars defining power </w:t>
      </w:r>
      <w:r w:rsidRPr="00921001">
        <w:rPr>
          <w:rFonts w:ascii="Aptos" w:eastAsia="Times New Roman" w:hAnsi="Aptos" w:cs="Arial"/>
          <w:color w:val="002060"/>
        </w:rPr>
        <w:lastRenderedPageBreak/>
        <w:t>generation price frameworks for solar and onshore/offshore wind power, LNG-fired power, pumped-storage hydropower, and battery energy storage systems (BESS).</w:t>
      </w:r>
    </w:p>
    <w:p w14:paraId="5242080F"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As regulatory mechanisms began to unlock capital flows, 2025 marked a clear transition in governance, from an approval-based approach to one centered on competitive bidding, transparency, and market principles. The practical implementation of the amended Electricity Law and </w:t>
      </w:r>
      <w:proofErr w:type="spellStart"/>
      <w:r w:rsidRPr="00921001">
        <w:rPr>
          <w:rFonts w:ascii="Aptos" w:eastAsia="Times New Roman" w:hAnsi="Aptos" w:cs="Arial"/>
          <w:color w:val="002060"/>
        </w:rPr>
        <w:t>DPPA</w:t>
      </w:r>
      <w:proofErr w:type="spellEnd"/>
      <w:r w:rsidRPr="00921001">
        <w:rPr>
          <w:rFonts w:ascii="Aptos" w:eastAsia="Times New Roman" w:hAnsi="Aptos" w:cs="Arial"/>
          <w:color w:val="002060"/>
        </w:rPr>
        <w:t xml:space="preserve"> regulations significantly strengthened investor confidence, particularly among foreign investors.</w:t>
      </w:r>
    </w:p>
    <w:p w14:paraId="4A3C08EF"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 key highlight was the revival of multiple offshore wind and gas-to-power projects that had been stalled due to pricing uncertainties. Many of these projects resumed site surveys, preparatory works, and EPC contract negotiations, signaling that the Government has started to address the complex challenge of balancing the interests of the State, investors, and consumers.</w:t>
      </w:r>
    </w:p>
    <w:p w14:paraId="7C2F83D3"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legal foundation for nuclear power development was also established when, on June 27, 2025, the 15th National Assembly passed the amended Law on Atomic Energy. Comprising 12 chapters and 73 articles and effective from January 1, 2026, the law focuses on promoting the peaceful use of atomic energy, ensuring nuclear safety and security, and creating a legal basis for future nuclear power projects.</w:t>
      </w:r>
    </w:p>
    <w:p w14:paraId="45E12F09"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By clarifying technical, safety, security, and lifecycle management requirements for nuclear power plants, the new law is expected to enhance transparency and credibility, paving the way for Vietnam to cautiously and confidently re-enter the nuclear power era in a safe, sustainable, and internationally aligned manner.</w:t>
      </w:r>
    </w:p>
    <w:p w14:paraId="6AD64FFF"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2. Nhon Trach 3 and 4 LNG Power Plants Enter Commercial Operation</w:t>
      </w:r>
    </w:p>
    <w:p w14:paraId="3AC7E0C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On December 14, 2025, the Nhon Trach 3 and Nhon Trach 4 LNG power plants, with a combined capacity of 1,624 MW, were officially inaugurated and put into operation. The project is invested by </w:t>
      </w:r>
      <w:proofErr w:type="spellStart"/>
      <w:r w:rsidRPr="00921001">
        <w:rPr>
          <w:rFonts w:ascii="Aptos" w:eastAsia="Times New Roman" w:hAnsi="Aptos" w:cs="Arial"/>
          <w:color w:val="002060"/>
        </w:rPr>
        <w:t>PetroVietnam</w:t>
      </w:r>
      <w:proofErr w:type="spellEnd"/>
      <w:r w:rsidRPr="00921001">
        <w:rPr>
          <w:rFonts w:ascii="Aptos" w:eastAsia="Times New Roman" w:hAnsi="Aptos" w:cs="Arial"/>
          <w:color w:val="002060"/>
        </w:rPr>
        <w:t xml:space="preserve"> Power Corporation, a member of the Vietnam National Industry - Energy Group. This is widely regarded as the most impactful event of Vietnam’s energy sector in 2025.</w:t>
      </w:r>
    </w:p>
    <w:p w14:paraId="2106DE94"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As the two plants were sequentially connected to the national grid, Vietnam entered a phase of full-scale, practical operation of LNG-fired power generation, adding a large baseload capacity to the southern power system. Beyond capacity expansion, the project represents a strategic shift in the national power mix, supporting the gradual reduction of coal-fired generation amid climate change pressures and increasingly stringent decarbonization requirements.</w:t>
      </w:r>
    </w:p>
    <w:p w14:paraId="1F9594A8"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official launch of the LNG power era was marked by the commercial operation of Nhon Trach 3 and 4, placing Vietnam among the group of countries producing electricity from liquefied natural gas (LNG).</w:t>
      </w:r>
    </w:p>
    <w:p w14:paraId="4874B00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terms of scale and technology, with a total capacity of 1,624 MW, the project employs the cleanest fossil fuel currently available and is equipped with H-class gas turbines, the world’s highest-efficiency gas turbine technology.</w:t>
      </w:r>
    </w:p>
    <w:p w14:paraId="3F928CF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From a system perspective, as conventional hydropower resources are nearly fully exploited and coal power development faces growing constraints, the addition of approximately 9-10 billion kWh per year from this LNG power complex to Vietnam’s southern key economic region is of critical importance for national energy security. The successful operation of Nhon Trach 3 and 4 demonstrates that LNG power is no longer a conceptual option, but a practical and urgent baseload solution in Vietnam’s evolving energy system.</w:t>
      </w:r>
    </w:p>
    <w:p w14:paraId="7437641A"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3. Major 500 kV and 220 kV Transmission Projects have been put into operation</w:t>
      </w:r>
    </w:p>
    <w:p w14:paraId="0C08415E"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In 2025, </w:t>
      </w:r>
      <w:proofErr w:type="gramStart"/>
      <w:r w:rsidRPr="00921001">
        <w:rPr>
          <w:rFonts w:ascii="Aptos" w:eastAsia="Times New Roman" w:hAnsi="Aptos" w:cs="Arial"/>
          <w:color w:val="002060"/>
        </w:rPr>
        <w:t>a large number of</w:t>
      </w:r>
      <w:proofErr w:type="gramEnd"/>
      <w:r w:rsidRPr="00921001">
        <w:rPr>
          <w:rFonts w:ascii="Aptos" w:eastAsia="Times New Roman" w:hAnsi="Aptos" w:cs="Arial"/>
          <w:color w:val="002060"/>
        </w:rPr>
        <w:t xml:space="preserve"> 500 kV and 220 kV power transmission projects were completed and commissioned, particularly in key load centers and power evacuation regions. The reinforcement of transmission infrastructure directly reduced congestion risks, improved supply reliability, and enabled more flexible system operation. As new generation capacity continued to come online, transmission development proved to be a critical pillar of national energy security.</w:t>
      </w:r>
    </w:p>
    <w:p w14:paraId="33C079CF"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 notable milestone was the completion and energization of the 500 kV Lao Cai – Vinh Yen transmission line, nearly 230 kilometers in length, on October 17, 2025 - just over six months after construction began. This exceptional timeline demonstrated not only extraordinary efforts but also marked a new level of capability in project execution and system management within Vietnam’s power transmission sector.</w:t>
      </w:r>
    </w:p>
    <w:p w14:paraId="7A0DB8B0"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“lifelines” of the 500 kV and 220 kV grid were effectively unblocked as Vietnam Electricity (</w:t>
      </w:r>
      <w:proofErr w:type="spellStart"/>
      <w:r w:rsidRPr="00921001">
        <w:rPr>
          <w:rFonts w:ascii="Aptos" w:eastAsia="Times New Roman" w:hAnsi="Aptos" w:cs="Arial"/>
          <w:color w:val="002060"/>
        </w:rPr>
        <w:t>EVN</w:t>
      </w:r>
      <w:proofErr w:type="spellEnd"/>
      <w:r w:rsidRPr="00921001">
        <w:rPr>
          <w:rFonts w:ascii="Aptos" w:eastAsia="Times New Roman" w:hAnsi="Aptos" w:cs="Arial"/>
          <w:color w:val="002060"/>
        </w:rPr>
        <w:t>) and the National Power Transmission Corporation (</w:t>
      </w:r>
      <w:proofErr w:type="spellStart"/>
      <w:r w:rsidRPr="00921001">
        <w:rPr>
          <w:rFonts w:ascii="Aptos" w:eastAsia="Times New Roman" w:hAnsi="Aptos" w:cs="Arial"/>
          <w:color w:val="002060"/>
        </w:rPr>
        <w:t>EVNNPT</w:t>
      </w:r>
      <w:proofErr w:type="spellEnd"/>
      <w:r w:rsidRPr="00921001">
        <w:rPr>
          <w:rFonts w:ascii="Aptos" w:eastAsia="Times New Roman" w:hAnsi="Aptos" w:cs="Arial"/>
          <w:color w:val="002060"/>
        </w:rPr>
        <w:t>) completed a massive workload to address long-standing grid bottlenecks. Building on the success of the 500 kV Circuit 3 line (Quang Trach – Pho Noi) completed the previous year, the focus in 2025 shifted toward power evacuation and the mitigation of localized overloads.</w:t>
      </w:r>
    </w:p>
    <w:p w14:paraId="7B73248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In practice, the commissioning of multiple 500 kV substations and associated transmission lines in the Central Highlands and </w:t>
      </w:r>
      <w:proofErr w:type="gramStart"/>
      <w:r w:rsidRPr="00921001">
        <w:rPr>
          <w:rFonts w:ascii="Aptos" w:eastAsia="Times New Roman" w:hAnsi="Aptos" w:cs="Arial"/>
          <w:color w:val="002060"/>
        </w:rPr>
        <w:t>South Central</w:t>
      </w:r>
      <w:proofErr w:type="gramEnd"/>
      <w:r w:rsidRPr="00921001">
        <w:rPr>
          <w:rFonts w:ascii="Aptos" w:eastAsia="Times New Roman" w:hAnsi="Aptos" w:cs="Arial"/>
          <w:color w:val="002060"/>
        </w:rPr>
        <w:t xml:space="preserve"> regions helped resolve the long-standing issue of renewable energy projects facing curtailment due to insufficient grid capacity. The power grid is no longer merely a transmission </w:t>
      </w:r>
      <w:proofErr w:type="gramStart"/>
      <w:r w:rsidRPr="00921001">
        <w:rPr>
          <w:rFonts w:ascii="Aptos" w:eastAsia="Times New Roman" w:hAnsi="Aptos" w:cs="Arial"/>
          <w:color w:val="002060"/>
        </w:rPr>
        <w:t>network, but</w:t>
      </w:r>
      <w:proofErr w:type="gramEnd"/>
      <w:r w:rsidRPr="00921001">
        <w:rPr>
          <w:rFonts w:ascii="Aptos" w:eastAsia="Times New Roman" w:hAnsi="Aptos" w:cs="Arial"/>
          <w:color w:val="002060"/>
        </w:rPr>
        <w:t xml:space="preserve"> is </w:t>
      </w:r>
      <w:r w:rsidRPr="00921001">
        <w:rPr>
          <w:rFonts w:ascii="Aptos" w:eastAsia="Times New Roman" w:hAnsi="Aptos" w:cs="Arial"/>
          <w:color w:val="002060"/>
        </w:rPr>
        <w:lastRenderedPageBreak/>
        <w:t>increasingly evolving into a foundational infrastructure enabling a more flexible, intelligent, and resilient power system.</w:t>
      </w:r>
    </w:p>
    <w:p w14:paraId="0B4C70B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4. Major Power Generation and Cross-Border Projects Commissioned</w:t>
      </w:r>
    </w:p>
    <w:p w14:paraId="0E8CB5B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2025, Vietnam saw the completion and commissioning of several key power generation projects, including large-scale facilities playing a critical role in balancing and stabilizing the national power system. Notable milestones included the full operation of the Hoa Binh Hydropower Expansion, the resolution of legal bottlenecks for transitional power projects, and the practical commissioning of cross-border electricity projects.</w:t>
      </w:r>
    </w:p>
    <w:p w14:paraId="4724A8F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On July 22, 2025, Unit 1 (665 MW) of the </w:t>
      </w:r>
      <w:proofErr w:type="spellStart"/>
      <w:r w:rsidRPr="00921001">
        <w:rPr>
          <w:rFonts w:ascii="Aptos" w:eastAsia="Times New Roman" w:hAnsi="Aptos" w:cs="Arial"/>
          <w:color w:val="002060"/>
        </w:rPr>
        <w:t>Vung</w:t>
      </w:r>
      <w:proofErr w:type="spellEnd"/>
      <w:r w:rsidRPr="00921001">
        <w:rPr>
          <w:rFonts w:ascii="Aptos" w:eastAsia="Times New Roman" w:hAnsi="Aptos" w:cs="Arial"/>
          <w:color w:val="002060"/>
        </w:rPr>
        <w:t xml:space="preserve"> Ang 2 BOT Thermal Power Plant in Ha Tinh officially entered operation. The plant applies ultra-supercritical (USC) coal-fired technology, contributing baseload capacity while improving fuel efficiency during the transitional phase of Vietnam’s energy transformation.</w:t>
      </w:r>
    </w:p>
    <w:p w14:paraId="6471EF8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At the same time, the Savan 1 Wind Power Plant, a renewable energy project invested by </w:t>
      </w:r>
      <w:proofErr w:type="spellStart"/>
      <w:r w:rsidRPr="00921001">
        <w:rPr>
          <w:rFonts w:ascii="Aptos" w:eastAsia="Times New Roman" w:hAnsi="Aptos" w:cs="Arial"/>
          <w:color w:val="002060"/>
        </w:rPr>
        <w:t>T&amp;T</w:t>
      </w:r>
      <w:proofErr w:type="spellEnd"/>
      <w:r w:rsidRPr="00921001">
        <w:rPr>
          <w:rFonts w:ascii="Aptos" w:eastAsia="Times New Roman" w:hAnsi="Aptos" w:cs="Arial"/>
          <w:color w:val="002060"/>
        </w:rPr>
        <w:t xml:space="preserve"> Group in Laos, commenced commercial operation, delivering clean electricity to Vietnam. Phase 1 of the project consists of 48 wind turbines with a total capacity of 300 MW, marking an important milestone in cross-border energy cooperation between Vietnam and Laos. Together, these projects directly increased system capacity, enhanced operational flexibility, and helped ease power supply pressure during peak periods.</w:t>
      </w:r>
    </w:p>
    <w:p w14:paraId="01FE0C6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Regarding the Hoa Binh Hydropower Expansion, amid the rapid growth of variable renewable energy, large hydropower continues to serve as the “heart” of the power system thanks to its fast start-up and frequency regulation capabilities. The successful commissioning of both units of the 480 MW Hoa Binh Hydropower Expansion in 2025 was a major technical achievement in underground construction. While the project adds approximately 233 million kWh per year, its core value lies in its peaking and system-stabilizing function, particularly during evening hours when solar output declines sharply.</w:t>
      </w:r>
    </w:p>
    <w:p w14:paraId="0A2F3593"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For the Savan 1 Wind Power Project (Laos), with a total installed capacity of 495 MW across two phases and an estimated investment of USD 768 million, the project is expected to become a flagship example of Vietnam–Laos energy cooperation. In 2025, the investor completed a double-circuit 220 kV transmission line over 50 kilometers in length connecting the plant to Vietnam’s grid and successfully brought Phase 1 (300 MW) into commercial operation on December 26, 2025.</w:t>
      </w:r>
    </w:p>
    <w:p w14:paraId="5026ED92"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The key message from the Savan 1 project extends beyond capacity figures. It demonstrates how bilateral cooperation agreements are being translated into practical, efficient, and sustainable projects, while also highlighting the growing capabilities of Vietnamese enterprises in project execution and overall management. Led by IPC Construction Engineering Joint Stock Company (IPC </w:t>
      </w:r>
      <w:proofErr w:type="spellStart"/>
      <w:r w:rsidRPr="00921001">
        <w:rPr>
          <w:rFonts w:ascii="Aptos" w:eastAsia="Times New Roman" w:hAnsi="Aptos" w:cs="Arial"/>
          <w:color w:val="002060"/>
        </w:rPr>
        <w:t>E&amp;C</w:t>
      </w:r>
      <w:proofErr w:type="spellEnd"/>
      <w:r w:rsidRPr="00921001">
        <w:rPr>
          <w:rFonts w:ascii="Aptos" w:eastAsia="Times New Roman" w:hAnsi="Aptos" w:cs="Arial"/>
          <w:color w:val="002060"/>
        </w:rPr>
        <w:t>), the Vietnamese contractor consortium played a central role in the project’s implementation.</w:t>
      </w:r>
    </w:p>
    <w:p w14:paraId="0074C81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More broadly, projects such as Truong Son wind power and Savan 1 reflect not only investments in energy infrastructure, but also the aspiration and rising role of Vietnam’s private sector in partnering with the country to develop a sustainable energy future.</w:t>
      </w:r>
    </w:p>
    <w:p w14:paraId="1B2D88B4"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5. Ban Ve Hydropower Plant Mitigates a Historic Flood, Protecting Downstream Areas</w:t>
      </w:r>
    </w:p>
    <w:p w14:paraId="3CE23384"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During the 2025 rainy season, the Ban Ve Hydropower Plant successfully mitigated a rare and extreme flood event with inflows exceeding its design frequency, playing a critical role in protecting downstream areas along the Ca River. This event once again underscored the irreplaceable role of large hydropower reservoirs in disaster risk management, particularly as climate change increases the frequency and intensity of extreme weather events.</w:t>
      </w:r>
    </w:p>
    <w:p w14:paraId="4CDF10ED"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A landmark flood mitigation achievement unfolded amid the highly volatile 2025 monsoon season, when La Niña-driven conditions caused unusually high rainfall and inflows across the North Central region. Located in Nghe </w:t>
      </w:r>
      <w:proofErr w:type="gramStart"/>
      <w:r w:rsidRPr="00921001">
        <w:rPr>
          <w:rFonts w:ascii="Aptos" w:eastAsia="Times New Roman" w:hAnsi="Aptos" w:cs="Arial"/>
          <w:color w:val="002060"/>
        </w:rPr>
        <w:t>An</w:t>
      </w:r>
      <w:proofErr w:type="gramEnd"/>
      <w:r w:rsidRPr="00921001">
        <w:rPr>
          <w:rFonts w:ascii="Aptos" w:eastAsia="Times New Roman" w:hAnsi="Aptos" w:cs="Arial"/>
          <w:color w:val="002060"/>
        </w:rPr>
        <w:t xml:space="preserve"> Province, Ban Ve Hydropower Plant - the largest reservoir in North Central Vietnam — became a key defensive barrier safeguarding millions of downstream residents.</w:t>
      </w:r>
    </w:p>
    <w:p w14:paraId="24993EA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Faced with flood inflows exceeding design thresholds, Ban Ve Hydropower Plant prioritized flood control over power generation, maintaining flood storage capacity to completely cut the flood peak. As a result, widespread downstream flooding along the Ca River was effectively avoided, significantly reducing potential human and economic losses.</w:t>
      </w:r>
    </w:p>
    <w:p w14:paraId="2605250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broader message from this event is clear: large hydropower projects are not merely power generation assets, but multi-purpose infrastructure that plays a vital role in social welfare, national water security, and climate resilience.</w:t>
      </w:r>
    </w:p>
    <w:p w14:paraId="2E6A0BEE"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6. Pilot Implementation of a Two-Part Electricity Tariff</w:t>
      </w:r>
    </w:p>
    <w:p w14:paraId="35587E8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The pilot implementation of a two-part electricity tariff, comprising a capacity charge and an energy charge, in 2025 was widely regarded as a significant step in Vietnam’s electricity market reform. This pricing mechanism more </w:t>
      </w:r>
      <w:r w:rsidRPr="00921001">
        <w:rPr>
          <w:rFonts w:ascii="Aptos" w:eastAsia="Times New Roman" w:hAnsi="Aptos" w:cs="Arial"/>
          <w:color w:val="002060"/>
        </w:rPr>
        <w:lastRenderedPageBreak/>
        <w:t>accurately reflects both capacity-related investment costs and energy costs, encouraging more efficient electricity use while laying the groundwork for a transparent and sustainable competitive power market in the years ahead.</w:t>
      </w:r>
    </w:p>
    <w:p w14:paraId="1EF9FAE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 structural shift in electricity pricing was marked as Vietnam, for the first time, piloted a two-part tariff model aligned with international market practices.</w:t>
      </w:r>
    </w:p>
    <w:p w14:paraId="771C0453"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essence, instead of paying solely for electricity consumption measured in kilowatt-hours (kWh), large electricity consumers are also required to pay a charge based on their registered capacity (kW). This approach reflects the reality that the power system must invest in generation and grid infrastructure to meet peak demand, regardless of actual energy consumption levels.</w:t>
      </w:r>
    </w:p>
    <w:p w14:paraId="08DEE72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terms of impact, for the power sector, the two-part tariff enables a more rational recovery of fixed investment costs, reducing risks associated with customers registering high capacity but utilizing it inefficiently. For consumers, particularly industrial users, the mechanism encourages more disciplined load management and demand planning, helping to avoid unnecessary strain on system resources. In the longer term, this reform is expected to enhance cost transparency and attract greater private investment into power infrastructure.</w:t>
      </w:r>
    </w:p>
    <w:p w14:paraId="6A55A3F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7. Thi Vai LNG Terminal Enters Stable Commercial Operation</w:t>
      </w:r>
    </w:p>
    <w:p w14:paraId="727F554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In 2025, the Thi Vai LNG terminal entered a phase of stable commercial operation, completing a critical link in Vietnam’s national LNG supply chain. In parallel, on August 23, 2025, Phase 1 of the Cai </w:t>
      </w:r>
      <w:proofErr w:type="spellStart"/>
      <w:r w:rsidRPr="00921001">
        <w:rPr>
          <w:rFonts w:ascii="Aptos" w:eastAsia="Times New Roman" w:hAnsi="Aptos" w:cs="Arial"/>
          <w:color w:val="002060"/>
        </w:rPr>
        <w:t>Mep</w:t>
      </w:r>
      <w:proofErr w:type="spellEnd"/>
      <w:r w:rsidRPr="00921001">
        <w:rPr>
          <w:rFonts w:ascii="Aptos" w:eastAsia="Times New Roman" w:hAnsi="Aptos" w:cs="Arial"/>
          <w:color w:val="002060"/>
        </w:rPr>
        <w:t xml:space="preserve"> LNG port and terminal, invested by Hai Linh Phu Tho Co., Ltd., was officially inaugurated. These facilities play a pivotal role in securing fuel supply for LNG-fired power plants in the Southeast region, while opening new development space for Vietnam’s liquefied natural gas market.</w:t>
      </w:r>
    </w:p>
    <w:p w14:paraId="19F760E2"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Thi Vai LNG terminal - a new energy supply source entering full operation - has a designed capacity of 1 million tons per year, with plans to expand to 3 million tons per year. Its stable commercial operation in 2025 is widely seen as the final missing piece in Vietnam’s gas-to-power value chain, covering LNG importation, storage, regasification, and power generation.</w:t>
      </w:r>
    </w:p>
    <w:p w14:paraId="424C7AB8"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strategic terms, Thi Vai is currently Vietnam’s first and largest LNG terminal. Its successful operation enhances Vietnam’s energy supply autonomy, reducing reliance on rapidly declining domestic gas fields. At the same time, it lays the foundation for Vietnam to participate more actively in the global LNG trading market, diversify primary energy sources, and strengthen national energy security.</w:t>
      </w:r>
    </w:p>
    <w:p w14:paraId="0B0CBCAA"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8. Key Construction Milestones Restarted in the Block B - O Mon Gas-to-Power Project</w:t>
      </w:r>
    </w:p>
    <w:p w14:paraId="02AE74BE"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After years of stagnation, 2025 marked tangible progress in the Block B - O Mon gas-to-power project chain, as major bottlenecks related to investment mechanisms and financing were gradually resolved. The revival of this project is of critical importance to energy security in Vietnam’s Southwest region, while reviving expectations for a large-scale domestic gas supply for power generation in the medium and long term.</w:t>
      </w:r>
    </w:p>
    <w:p w14:paraId="79C14C3A"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After more than two decades of delays, the Block B - O Mon mega project, with a total investment of nearly USD 12 billion, officially regained momentum on the ground in 2025.</w:t>
      </w:r>
    </w:p>
    <w:p w14:paraId="0796378D"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terms of implementation, Final Investment Decisions (FID) for the upstream components (gas production facilities) and midstream infrastructure (gas pipelines) were activated. Downstream, the O Mon 2, 3, and 4 power plants successfully addressed key issues related to project financing and gas offtake arrangements, paving the way for synchronized construction.</w:t>
      </w:r>
    </w:p>
    <w:p w14:paraId="28DDC49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From a strategic perspective, once completed, the Block B - O Mon project chain will supply gas to four power plants with a combined capacity of approximately 3,800 MW, serving as a cornerstone of energy security for the entire Southwest region over the next two decades, while helping balance Vietnam’s power mix between domestic gas resources and imported LNG.</w:t>
      </w:r>
    </w:p>
    <w:p w14:paraId="5ECC6AD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9. Coal Sector Expands Mining Capacity and Stabilizes Fuel Supply for Power Generation</w:t>
      </w:r>
    </w:p>
    <w:p w14:paraId="632B8F99"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In 2025, Vietnam’s coal sector recorded notable progress with the completion of several mine expansion projects, alongside the implementation of long-term coal supply contracts for key thermal power plants. These developments contributed to stabilizing fuel supply for power generation, reducing reliance on coal imports, and ensuring the safe and reliable operation of the power system amid steadily rising electricity demand.</w:t>
      </w:r>
    </w:p>
    <w:p w14:paraId="1930C417"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As open-pit coal reserves continue to decline, many subsidiaries of Vietnam National Coal – Mineral Industries Group (</w:t>
      </w:r>
      <w:proofErr w:type="spellStart"/>
      <w:r w:rsidRPr="00921001">
        <w:rPr>
          <w:rFonts w:ascii="Aptos" w:eastAsia="Times New Roman" w:hAnsi="Aptos" w:cs="Arial"/>
          <w:color w:val="002060"/>
        </w:rPr>
        <w:t>TKV</w:t>
      </w:r>
      <w:proofErr w:type="spellEnd"/>
      <w:r w:rsidRPr="00921001">
        <w:rPr>
          <w:rFonts w:ascii="Aptos" w:eastAsia="Times New Roman" w:hAnsi="Aptos" w:cs="Arial"/>
          <w:color w:val="002060"/>
        </w:rPr>
        <w:t>) accelerated the transition toward deep underground mining, reaching depths of -300 meters, -500 meters, and beyond. Ha Lam Coal Joint Stock Company began constructing inclined shafts down to -550 meters, with a mechanized mining approach targeting an output of approximately 2.4 million tons per year.</w:t>
      </w:r>
    </w:p>
    <w:p w14:paraId="7EDF6238"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 xml:space="preserve">A key milestone was achieved on 25 December 2025, when Nui Beo Coal Joint Stock Company produced its 2-millionth ton of underground coal at level </w:t>
      </w:r>
      <w:proofErr w:type="spellStart"/>
      <w:r w:rsidRPr="00921001">
        <w:rPr>
          <w:rFonts w:ascii="Aptos" w:eastAsia="Times New Roman" w:hAnsi="Aptos" w:cs="Arial"/>
          <w:color w:val="002060"/>
        </w:rPr>
        <w:t>MB+35</w:t>
      </w:r>
      <w:proofErr w:type="spellEnd"/>
      <w:r w:rsidRPr="00921001">
        <w:rPr>
          <w:rFonts w:ascii="Aptos" w:eastAsia="Times New Roman" w:hAnsi="Aptos" w:cs="Arial"/>
          <w:color w:val="002060"/>
        </w:rPr>
        <w:t xml:space="preserve">, officially reaching the designed capacity of the Nui Beo </w:t>
      </w:r>
      <w:r w:rsidRPr="00921001">
        <w:rPr>
          <w:rFonts w:ascii="Aptos" w:eastAsia="Times New Roman" w:hAnsi="Aptos" w:cs="Arial"/>
          <w:color w:val="002060"/>
        </w:rPr>
        <w:lastRenderedPageBreak/>
        <w:t>underground mining project. This event marked a significant step in the coal industry’s strategic transition from open-pit mining to underground operations.</w:t>
      </w:r>
    </w:p>
    <w:p w14:paraId="5AC8039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 silent but resilient backbone:</w:t>
      </w:r>
      <w:r w:rsidRPr="00921001">
        <w:rPr>
          <w:rFonts w:ascii="Aptos" w:eastAsia="Times New Roman" w:hAnsi="Aptos" w:cs="Arial"/>
          <w:color w:val="002060"/>
        </w:rPr>
        <w:br/>
        <w:t xml:space="preserve">Amid the global energy transition, coal remains a critical baseload energy source, particularly for Northern Vietnam during peak dry-season demand. In 2025, </w:t>
      </w:r>
      <w:proofErr w:type="spellStart"/>
      <w:r w:rsidRPr="00921001">
        <w:rPr>
          <w:rFonts w:ascii="Aptos" w:eastAsia="Times New Roman" w:hAnsi="Aptos" w:cs="Arial"/>
          <w:color w:val="002060"/>
        </w:rPr>
        <w:t>TKV</w:t>
      </w:r>
      <w:proofErr w:type="spellEnd"/>
      <w:r w:rsidRPr="00921001">
        <w:rPr>
          <w:rFonts w:ascii="Aptos" w:eastAsia="Times New Roman" w:hAnsi="Aptos" w:cs="Arial"/>
          <w:color w:val="002060"/>
        </w:rPr>
        <w:t xml:space="preserve"> and Dong Bac Corporation undertook a challenging dual mission: maintaining production levels while progressively greening mining and coal utilization processes.</w:t>
      </w:r>
    </w:p>
    <w:p w14:paraId="463DAA04"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expansion of large-scale underground mines, the adoption of modern technologies, and the stabilization of long-term coal supply agreements helped shield the power sector from global fuel price volatility. These efforts reaffirmed coal’s indispensable role in maintaining system load balance, frequency stability, and voltage reliability within Vietnam’s national power system.</w:t>
      </w:r>
    </w:p>
    <w:p w14:paraId="46B03B3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10. National Power System Operates Safely Under Extreme Weather Conditions</w:t>
      </w:r>
    </w:p>
    <w:p w14:paraId="71DC65B3"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year 2025 posed unprecedented challenges for Vietnam’s power system operation as extreme weather events, prolonged heatwaves, and sharp load fluctuations put significant pressure on system dispatch and balancing. Through close coordination among operating entities, flexible generation dispatch, and effective utilization of the transmission network, the national power system was able to maintain overall operational safety, with no widespread outages.</w:t>
      </w:r>
    </w:p>
    <w:p w14:paraId="2F367120"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Notably, electricity generation in 2025 increased by only around 4.8%, lower than in 2022 and 2024. During 2022–2023, electricity demand growth was dampened by the lingering effects of the Covid-19 pandemic. With Vietnam’s GDP growth in 2025 estimated at approximately 8%, the electricity-to-GDP elasticity for the 2021–2025 period is estimated at 0.99, below unity.</w:t>
      </w:r>
    </w:p>
    <w:p w14:paraId="569E9E15"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This outcome offers an important insight: electricity demand does not necessarily need to grow faster than GDP, nor does it always have to reach the commonly cited ratio of 1.3–1.5. Improvements in energy efficiency, load optimization, and structural economic shifts are gradually reshaping the traditional relationship between electricity consumption and economic growth.</w:t>
      </w:r>
    </w:p>
    <w:p w14:paraId="1E237415"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A stress test for system operation:</w:t>
      </w:r>
      <w:r w:rsidRPr="00921001">
        <w:rPr>
          <w:rFonts w:ascii="Aptos" w:eastAsia="Times New Roman" w:hAnsi="Aptos" w:cs="Arial"/>
          <w:color w:val="002060"/>
        </w:rPr>
        <w:br/>
        <w:t>The year 2025 also marked a critical test for the National Power System and Market Operator (</w:t>
      </w:r>
      <w:proofErr w:type="spellStart"/>
      <w:r w:rsidRPr="00921001">
        <w:rPr>
          <w:rFonts w:ascii="Aptos" w:eastAsia="Times New Roman" w:hAnsi="Aptos" w:cs="Arial"/>
          <w:color w:val="002060"/>
        </w:rPr>
        <w:t>NSMO</w:t>
      </w:r>
      <w:proofErr w:type="spellEnd"/>
      <w:r w:rsidRPr="00921001">
        <w:rPr>
          <w:rFonts w:ascii="Aptos" w:eastAsia="Times New Roman" w:hAnsi="Aptos" w:cs="Arial"/>
          <w:color w:val="002060"/>
        </w:rPr>
        <w:t xml:space="preserve">) following its organizational separation from </w:t>
      </w:r>
      <w:proofErr w:type="spellStart"/>
      <w:r w:rsidRPr="00921001">
        <w:rPr>
          <w:rFonts w:ascii="Aptos" w:eastAsia="Times New Roman" w:hAnsi="Aptos" w:cs="Arial"/>
          <w:color w:val="002060"/>
        </w:rPr>
        <w:t>EVN</w:t>
      </w:r>
      <w:proofErr w:type="spellEnd"/>
      <w:r w:rsidRPr="00921001">
        <w:rPr>
          <w:rFonts w:ascii="Aptos" w:eastAsia="Times New Roman" w:hAnsi="Aptos" w:cs="Arial"/>
          <w:color w:val="002060"/>
        </w:rPr>
        <w:t xml:space="preserve"> and transition under the Ministry of Industry and Trade.</w:t>
      </w:r>
    </w:p>
    <w:p w14:paraId="5129050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system faced increasingly pronounced “duck curve” load profiles due to the high penetration of solar power, combined with record-breaking heatwaves that pushed peak demand (Pmax) beyond previous forecasts. Nevertheless, through the deployment of advanced dispatch algorithms and coordinated operation—utilizing hydropower for peak shaving, thermal power for baseload, and renewables as supplementary supply-the Vietnamese power system operated reliably, avoiding any nationwide blackout.</w:t>
      </w:r>
    </w:p>
    <w:p w14:paraId="2DB378C6"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This achievement reflects not only the robustness of the physical infrastructure but also the technical competence, experience, and resilience of Vietnam’s power system operators amid an increasingly complex energy transition.</w:t>
      </w:r>
    </w:p>
    <w:p w14:paraId="592D0E7B"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color w:val="002060"/>
        </w:rPr>
        <w:t>Conclusion:</w:t>
      </w:r>
    </w:p>
    <w:p w14:paraId="30917A9F"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Looking back at 2025, Vietnam’s energy sector was not defined by grand slogans but by tangible projects, difficult policy choices, and high-pressure system operations. From wind power, LNG-fired generation, hydropower, and transmission infrastructure to coal, gas, and evolving electricity demand patterns, each of the year’s landmark events reflected a critical transitional phase of the national energy system-one in which energy security, system flexibility, and operational efficiency have become paramount.</w:t>
      </w:r>
    </w:p>
    <w:p w14:paraId="5819FBDA"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close of 2025 serves as a clear reminder that national energy security can only be ensured when policy decisions are grounded in operational realities, aligned with the broader economic interest, and guided by a long-term vision. These fundamentals now form the basis for the next stage of development-one that is more pragmatic, resilient, and sustainable.</w:t>
      </w:r>
    </w:p>
    <w:p w14:paraId="77DFCF15"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b/>
          <w:bCs/>
          <w:i/>
          <w:iCs/>
          <w:color w:val="002060"/>
        </w:rPr>
        <w:t>Towards 2030 – An Era of Efficiency and Sustainability</w:t>
      </w:r>
    </w:p>
    <w:p w14:paraId="60184041"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A review of the ten most significant energy events of 2025 reveals a Vietnamese energy sector undergoing a genuine transformation. The phase of rapid, extensive expansion is gradually giving way to a new cycle of deep, quality-driven development, characterized by more rigorous considerations of cost, system efficiency, and environmental impact.</w:t>
      </w:r>
    </w:p>
    <w:p w14:paraId="1D65DF8C" w14:textId="77777777"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t>The foundations laid in 2025, ranging from LNG infrastructure and reinforced transmission networks to smarter grid operation and market-based electricity pricing mechanisms, will serve as a critical launchpad for Vietnam to achieve the objectives set out in the Power Development Plan VIII for the 2026–2030 period, while moving steadily toward its Net Zero commitment by 2050.</w:t>
      </w:r>
    </w:p>
    <w:p w14:paraId="683DC0D8" w14:textId="5B214346" w:rsidR="00921001" w:rsidRPr="00921001" w:rsidRDefault="00921001" w:rsidP="00921001">
      <w:pPr>
        <w:spacing w:after="0" w:line="240" w:lineRule="auto"/>
        <w:jc w:val="both"/>
        <w:rPr>
          <w:rFonts w:ascii="Aptos" w:eastAsia="Times New Roman" w:hAnsi="Aptos" w:cs="Arial"/>
          <w:color w:val="002060"/>
        </w:rPr>
      </w:pPr>
      <w:r w:rsidRPr="00921001">
        <w:rPr>
          <w:rFonts w:ascii="Aptos" w:eastAsia="Times New Roman" w:hAnsi="Aptos" w:cs="Arial"/>
          <w:color w:val="002060"/>
        </w:rPr>
        <w:lastRenderedPageBreak/>
        <w:t>Alongside these positive developments, 2025 also exposed unresolved issues and emerging challenges that warrant continued, candid assessment. These aspects will be further analyzed, discussed, and accompanied by policy recommendations in forthcoming publications by the Scientific Council of Vietnam Energy Review.</w:t>
      </w:r>
    </w:p>
    <w:p w14:paraId="1B390808" w14:textId="77777777" w:rsidR="009962D0" w:rsidRPr="004C6CBE" w:rsidRDefault="009962D0" w:rsidP="00687F12">
      <w:pPr>
        <w:pStyle w:val="Heading1"/>
        <w:shd w:val="clear" w:color="auto" w:fill="FFFFFF"/>
        <w:spacing w:before="0" w:line="288" w:lineRule="atLeast"/>
        <w:rPr>
          <w:rFonts w:ascii="Aptos" w:eastAsia="Malgun Gothic" w:hAnsi="Aptos" w:cs="Times New Roman"/>
          <w:color w:val="002060"/>
        </w:rPr>
      </w:pPr>
    </w:p>
    <w:p w14:paraId="482D5D14" w14:textId="77777777" w:rsidR="00921001" w:rsidRDefault="00921001" w:rsidP="00921001">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1E5714F8" w14:textId="62C3E1F4"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161" w:name="_Toc215144391"/>
      <w:bookmarkStart w:id="1162" w:name="_Toc215750969"/>
      <w:bookmarkStart w:id="1163" w:name="_Toc216355067"/>
      <w:bookmarkStart w:id="1164" w:name="_Toc216965815"/>
      <w:bookmarkStart w:id="1165" w:name="_Toc217639136"/>
      <w:bookmarkStart w:id="1166" w:name="_Toc218772688"/>
      <w:r w:rsidRPr="004C6CBE">
        <w:rPr>
          <w:rFonts w:ascii="Aptos" w:eastAsia="Malgun Gothic" w:hAnsi="Aptos" w:cs="Times New Roman"/>
          <w:color w:val="002060"/>
        </w:rPr>
        <w:t>LEGAL</w:t>
      </w:r>
      <w:bookmarkEnd w:id="1161"/>
      <w:bookmarkEnd w:id="1162"/>
      <w:bookmarkEnd w:id="1163"/>
      <w:bookmarkEnd w:id="1164"/>
      <w:bookmarkEnd w:id="1165"/>
      <w:bookmarkEnd w:id="1166"/>
    </w:p>
    <w:p w14:paraId="5BF6517D" w14:textId="77777777" w:rsidR="00675434" w:rsidRPr="00675434" w:rsidRDefault="00675434" w:rsidP="00675434"/>
    <w:p w14:paraId="1DC48B79" w14:textId="0DDE25A6" w:rsidR="00675434" w:rsidRPr="00675434" w:rsidRDefault="00675434" w:rsidP="001838AF">
      <w:pPr>
        <w:pStyle w:val="Heading2"/>
        <w:rPr>
          <w:rFonts w:ascii="Aptos" w:eastAsia="Times New Roman" w:hAnsi="Aptos" w:cs="Times New Roman"/>
          <w:color w:val="002060"/>
          <w:sz w:val="28"/>
          <w:szCs w:val="28"/>
        </w:rPr>
      </w:pPr>
      <w:bookmarkStart w:id="1167" w:name="_Toc218772689"/>
      <w:r w:rsidRPr="00675434">
        <w:rPr>
          <w:rFonts w:ascii="Aptos" w:eastAsia="Times New Roman" w:hAnsi="Aptos" w:cs="Times New Roman"/>
          <w:color w:val="002060"/>
          <w:sz w:val="28"/>
          <w:szCs w:val="28"/>
        </w:rPr>
        <w:t>New regulations mark key shift in investment fund management</w:t>
      </w:r>
      <w:bookmarkEnd w:id="1167"/>
    </w:p>
    <w:p w14:paraId="0629DD6A" w14:textId="5BD40BF3" w:rsidR="00675434" w:rsidRDefault="00675434" w:rsidP="00675434">
      <w:pPr>
        <w:shd w:val="clear" w:color="auto" w:fill="FFFFFF"/>
        <w:spacing w:line="288" w:lineRule="auto"/>
        <w:jc w:val="both"/>
        <w:rPr>
          <w:rFonts w:ascii="Aptos" w:eastAsia="Times New Roman" w:hAnsi="Aptos" w:cs="Times New Roman"/>
          <w:i/>
          <w:iCs/>
          <w:color w:val="002060"/>
          <w:sz w:val="18"/>
          <w:szCs w:val="18"/>
        </w:rPr>
      </w:pPr>
      <w:r w:rsidRPr="00675434">
        <w:rPr>
          <w:rFonts w:ascii="Aptos" w:eastAsia="Times New Roman" w:hAnsi="Aptos" w:cs="Times New Roman"/>
          <w:i/>
          <w:iCs/>
          <w:color w:val="002060"/>
          <w:sz w:val="18"/>
          <w:szCs w:val="18"/>
        </w:rPr>
        <w:t>VNS/</w:t>
      </w:r>
      <w:proofErr w:type="spellStart"/>
      <w:r w:rsidRPr="00675434">
        <w:rPr>
          <w:rFonts w:ascii="Aptos" w:eastAsia="Times New Roman" w:hAnsi="Aptos" w:cs="Times New Roman"/>
          <w:i/>
          <w:iCs/>
          <w:color w:val="002060"/>
          <w:sz w:val="18"/>
          <w:szCs w:val="18"/>
        </w:rPr>
        <w:t>VLLF</w:t>
      </w:r>
      <w:proofErr w:type="spellEnd"/>
    </w:p>
    <w:p w14:paraId="25C5C18F" w14:textId="77777777" w:rsidR="00675434" w:rsidRPr="00675434" w:rsidRDefault="00675434" w:rsidP="00675434">
      <w:pPr>
        <w:shd w:val="clear" w:color="auto" w:fill="FFFFFF"/>
        <w:spacing w:line="288" w:lineRule="auto"/>
        <w:jc w:val="both"/>
        <w:rPr>
          <w:rFonts w:ascii="Aptos" w:eastAsia="Times New Roman" w:hAnsi="Aptos" w:cs="Times New Roman"/>
          <w:i/>
          <w:iCs/>
          <w:color w:val="002060"/>
          <w:sz w:val="18"/>
          <w:szCs w:val="18"/>
        </w:rPr>
      </w:pPr>
    </w:p>
    <w:p w14:paraId="385D724E" w14:textId="7E225528" w:rsidR="00675434" w:rsidRPr="00675434" w:rsidRDefault="00675434" w:rsidP="00675434">
      <w:pPr>
        <w:shd w:val="clear" w:color="auto" w:fill="FFFFFF"/>
        <w:spacing w:line="288" w:lineRule="auto"/>
        <w:jc w:val="both"/>
        <w:rPr>
          <w:rFonts w:ascii="Aptos" w:eastAsia="Times New Roman" w:hAnsi="Aptos" w:cs="Times New Roman"/>
          <w:b/>
          <w:bCs/>
          <w:color w:val="002060"/>
        </w:rPr>
      </w:pPr>
      <w:r w:rsidRPr="00675434">
        <w:rPr>
          <w:rFonts w:ascii="Aptos" w:eastAsia="Times New Roman" w:hAnsi="Aptos" w:cs="Times New Roman"/>
          <w:b/>
          <w:bCs/>
          <w:color w:val="002060"/>
        </w:rPr>
        <w:t>Effective as of February 12 this year, Circular 136/2025/TT-</w:t>
      </w:r>
      <w:proofErr w:type="spellStart"/>
      <w:r w:rsidRPr="00675434">
        <w:rPr>
          <w:rFonts w:ascii="Aptos" w:eastAsia="Times New Roman" w:hAnsi="Aptos" w:cs="Times New Roman"/>
          <w:b/>
          <w:bCs/>
          <w:color w:val="002060"/>
        </w:rPr>
        <w:t>BTC</w:t>
      </w:r>
      <w:proofErr w:type="spellEnd"/>
      <w:r w:rsidRPr="00675434">
        <w:rPr>
          <w:rFonts w:ascii="Aptos" w:eastAsia="Times New Roman" w:hAnsi="Aptos" w:cs="Times New Roman"/>
          <w:b/>
          <w:bCs/>
          <w:color w:val="002060"/>
        </w:rPr>
        <w:t xml:space="preserve"> aims to diversify investment products while enhancing investor protection and risk management mechanisms in the continuously evolving financial market.</w:t>
      </w:r>
    </w:p>
    <w:tbl>
      <w:tblPr>
        <w:tblW w:w="14280" w:type="dxa"/>
        <w:tblCellMar>
          <w:top w:w="15" w:type="dxa"/>
          <w:left w:w="15" w:type="dxa"/>
          <w:bottom w:w="15" w:type="dxa"/>
          <w:right w:w="15" w:type="dxa"/>
        </w:tblCellMar>
        <w:tblLook w:val="04A0" w:firstRow="1" w:lastRow="0" w:firstColumn="1" w:lastColumn="0" w:noHBand="0" w:noVBand="1"/>
      </w:tblPr>
      <w:tblGrid>
        <w:gridCol w:w="14280"/>
      </w:tblGrid>
      <w:tr w:rsidR="00675434" w:rsidRPr="00675434" w14:paraId="658362B0" w14:textId="77777777" w:rsidTr="00675434">
        <w:tc>
          <w:tcPr>
            <w:tcW w:w="0" w:type="auto"/>
            <w:vAlign w:val="center"/>
            <w:hideMark/>
          </w:tcPr>
          <w:p w14:paraId="73F6FE36" w14:textId="708BEDD6" w:rsidR="00675434" w:rsidRPr="00675434" w:rsidRDefault="00675434" w:rsidP="00675434">
            <w:pPr>
              <w:spacing w:before="240" w:after="0" w:line="288" w:lineRule="auto"/>
              <w:jc w:val="both"/>
              <w:rPr>
                <w:rFonts w:ascii="Aptos" w:eastAsia="Times New Roman" w:hAnsi="Aptos" w:cs="Times New Roman"/>
                <w:i/>
                <w:iCs/>
                <w:color w:val="002060"/>
              </w:rPr>
            </w:pPr>
          </w:p>
        </w:tc>
      </w:tr>
    </w:tbl>
    <w:p w14:paraId="75807E07"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The Ministry of Finance has officially issued a new regulation that provides guidelines for the operation and management of investment funds.</w:t>
      </w:r>
    </w:p>
    <w:p w14:paraId="5D6FD3DE"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Circular 136/2025/TT-</w:t>
      </w:r>
      <w:proofErr w:type="spellStart"/>
      <w:r w:rsidRPr="00675434">
        <w:rPr>
          <w:rFonts w:ascii="Aptos" w:eastAsia="Times New Roman" w:hAnsi="Aptos" w:cs="Times New Roman"/>
          <w:color w:val="002060"/>
        </w:rPr>
        <w:t>BTC</w:t>
      </w:r>
      <w:proofErr w:type="spellEnd"/>
      <w:r w:rsidRPr="00675434">
        <w:rPr>
          <w:rFonts w:ascii="Aptos" w:eastAsia="Times New Roman" w:hAnsi="Aptos" w:cs="Times New Roman"/>
          <w:color w:val="002060"/>
        </w:rPr>
        <w:t>, which amends and supplements Circular 98/2020/TT-</w:t>
      </w:r>
      <w:proofErr w:type="spellStart"/>
      <w:r w:rsidRPr="00675434">
        <w:rPr>
          <w:rFonts w:ascii="Aptos" w:eastAsia="Times New Roman" w:hAnsi="Aptos" w:cs="Times New Roman"/>
          <w:color w:val="002060"/>
        </w:rPr>
        <w:t>BTC</w:t>
      </w:r>
      <w:proofErr w:type="spellEnd"/>
      <w:r w:rsidRPr="00675434">
        <w:rPr>
          <w:rFonts w:ascii="Aptos" w:eastAsia="Times New Roman" w:hAnsi="Aptos" w:cs="Times New Roman"/>
          <w:color w:val="002060"/>
        </w:rPr>
        <w:t>, aims to diversify investment products while enhancing investor protection and risk management mechanisms in the continuously evolving financial market.</w:t>
      </w:r>
    </w:p>
    <w:p w14:paraId="261FD945"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One of the most notable features of Circular 136 is the introduction of a legal framework for two new types of funds to meet the growing demands of the market.</w:t>
      </w:r>
    </w:p>
    <w:p w14:paraId="2EDEFBF1"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The Monetary Market Investment Fund is set to operate with a minimum investment requirement of 80 percent of its Net Asset Value (NAV) in high-safety assets such as deposits, certificates of deposit and government debt instruments.</w:t>
      </w:r>
    </w:p>
    <w:p w14:paraId="3B741827"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This measure is designed to provide a safer investment environment amid market fluctuations.</w:t>
      </w:r>
    </w:p>
    <w:p w14:paraId="6FCF7492"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Additionally, the Infrastructure Bond Fund will be established, with at least 65 per cent of its NAV invested in infrastructure project bonds, creating a long-term funding channel for national priority projects.</w:t>
      </w:r>
    </w:p>
    <w:p w14:paraId="04B7EE2B"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 xml:space="preserve">The move is expected to significantly enhance capital </w:t>
      </w:r>
      <w:proofErr w:type="spellStart"/>
      <w:r w:rsidRPr="00675434">
        <w:rPr>
          <w:rFonts w:ascii="Aptos" w:eastAsia="Times New Roman" w:hAnsi="Aptos" w:cs="Times New Roman"/>
          <w:color w:val="002060"/>
        </w:rPr>
        <w:t>mobilisation</w:t>
      </w:r>
      <w:proofErr w:type="spellEnd"/>
      <w:r w:rsidRPr="00675434">
        <w:rPr>
          <w:rFonts w:ascii="Aptos" w:eastAsia="Times New Roman" w:hAnsi="Aptos" w:cs="Times New Roman"/>
          <w:color w:val="002060"/>
        </w:rPr>
        <w:t xml:space="preserve"> for critical infrastructure developments.</w:t>
      </w:r>
    </w:p>
    <w:p w14:paraId="1F38951B"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To further bolster the sustainability of open-ended funds against unexpected market shocks, the ministry has introduced the concept of a 'Liquidity Reserve'.</w:t>
      </w:r>
    </w:p>
    <w:p w14:paraId="58BCEA19"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This fee will be applied when the fund's liquidity decreases due to unexpected circumstances.</w:t>
      </w:r>
    </w:p>
    <w:p w14:paraId="626DB13F"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 xml:space="preserve">All revenue generated from this fee will not belong to the management </w:t>
      </w:r>
      <w:proofErr w:type="gramStart"/>
      <w:r w:rsidRPr="00675434">
        <w:rPr>
          <w:rFonts w:ascii="Aptos" w:eastAsia="Times New Roman" w:hAnsi="Aptos" w:cs="Times New Roman"/>
          <w:color w:val="002060"/>
        </w:rPr>
        <w:t>company, but</w:t>
      </w:r>
      <w:proofErr w:type="gramEnd"/>
      <w:r w:rsidRPr="00675434">
        <w:rPr>
          <w:rFonts w:ascii="Aptos" w:eastAsia="Times New Roman" w:hAnsi="Aptos" w:cs="Times New Roman"/>
          <w:color w:val="002060"/>
        </w:rPr>
        <w:t xml:space="preserve"> will be directly accounted for in the fund's income, ensuring the protection of remaining investors and offsetting costs incurred from asset liquidation.</w:t>
      </w:r>
    </w:p>
    <w:p w14:paraId="2535BADE"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lastRenderedPageBreak/>
        <w:t>On the governance front, Circular 136 tightens regulations concerning trading and conflicts of interest.</w:t>
      </w:r>
    </w:p>
    <w:p w14:paraId="194EAF97"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Member funds are now prohibited from using their capital to invest in their own contributing members. For negotiated transactions, fund management companies must obtain written approval from the fund's representative board regarding the pricing and partners involved before proceeding.</w:t>
      </w:r>
    </w:p>
    <w:p w14:paraId="7AB2FEA1"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Furthermore, transparency is heightened, with mandatory NAV disclosures required no later than the next working day following the valuation date across both the stock exchange system and the management company's website.</w:t>
      </w:r>
    </w:p>
    <w:p w14:paraId="3FDF7155"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 xml:space="preserve">Investor meetings will also see </w:t>
      </w:r>
      <w:proofErr w:type="spellStart"/>
      <w:r w:rsidRPr="00675434">
        <w:rPr>
          <w:rFonts w:ascii="Aptos" w:eastAsia="Times New Roman" w:hAnsi="Aptos" w:cs="Times New Roman"/>
          <w:color w:val="002060"/>
        </w:rPr>
        <w:t>modernisation</w:t>
      </w:r>
      <w:proofErr w:type="spellEnd"/>
      <w:r w:rsidRPr="00675434">
        <w:rPr>
          <w:rFonts w:ascii="Aptos" w:eastAsia="Times New Roman" w:hAnsi="Aptos" w:cs="Times New Roman"/>
          <w:color w:val="002060"/>
        </w:rPr>
        <w:t>, with provisions for flexible arrangements allowing for online participation and electronic voting, thus streamlining decision-making processes while reducing costs. Meetings will be deemed valid if attended by representatives holding over 50 percent of the total voting rights.</w:t>
      </w:r>
    </w:p>
    <w:p w14:paraId="7A0B93AE"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Finally, to enhance market regulation, the circular imposes strict rules on fund advertising.</w:t>
      </w:r>
    </w:p>
    <w:p w14:paraId="292D7731"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Management companies are prohibited from using Government agency names, images of civil servants or client gratitude letters to attract investors.</w:t>
      </w:r>
    </w:p>
    <w:p w14:paraId="50426BBD" w14:textId="77777777" w:rsidR="00675434" w:rsidRPr="00675434" w:rsidRDefault="00675434" w:rsidP="00675434">
      <w:pPr>
        <w:shd w:val="clear" w:color="auto" w:fill="FFFFFF"/>
        <w:spacing w:before="240" w:after="0" w:line="288" w:lineRule="auto"/>
        <w:jc w:val="both"/>
        <w:rPr>
          <w:rFonts w:ascii="Aptos" w:eastAsia="Times New Roman" w:hAnsi="Aptos" w:cs="Times New Roman"/>
          <w:color w:val="002060"/>
        </w:rPr>
      </w:pPr>
      <w:r w:rsidRPr="00675434">
        <w:rPr>
          <w:rFonts w:ascii="Aptos" w:eastAsia="Times New Roman" w:hAnsi="Aptos" w:cs="Times New Roman"/>
          <w:color w:val="002060"/>
        </w:rPr>
        <w:t>All promotional content must include risk warnings and clarify that regulatory bodies only verify the legality of documentation rather than guarantee profit.</w:t>
      </w:r>
    </w:p>
    <w:p w14:paraId="1F2C22CE" w14:textId="00379CED" w:rsidR="00675434" w:rsidRPr="00675434" w:rsidRDefault="00675434" w:rsidP="00675434">
      <w:pPr>
        <w:shd w:val="clear" w:color="auto" w:fill="FFFFFF"/>
        <w:spacing w:before="240" w:line="288" w:lineRule="auto"/>
        <w:jc w:val="both"/>
        <w:rPr>
          <w:rFonts w:ascii="Aptos" w:eastAsia="Times New Roman" w:hAnsi="Aptos" w:cs="Times New Roman"/>
          <w:color w:val="002060"/>
        </w:rPr>
      </w:pPr>
      <w:r w:rsidRPr="00675434">
        <w:rPr>
          <w:rFonts w:ascii="Aptos" w:eastAsia="Times New Roman" w:hAnsi="Aptos" w:cs="Times New Roman"/>
          <w:color w:val="002060"/>
        </w:rPr>
        <w:t>With these comprehensive changes, Circular 136 is expected to foster a more transparent, safer and more professional investment environment, encouraging sustainable capital inflows into the securities market</w:t>
      </w:r>
      <w:r w:rsidRPr="00675434">
        <w:rPr>
          <w:rFonts w:ascii="Aptos" w:eastAsia="Times New Roman" w:hAnsi="Aptos" w:cs="Times New Roman"/>
          <w:color w:val="002060"/>
        </w:rPr>
        <w:t>.</w:t>
      </w:r>
    </w:p>
    <w:p w14:paraId="3407ECBC" w14:textId="77777777" w:rsidR="00CA51E5" w:rsidRPr="00CA51E5" w:rsidRDefault="00CA51E5" w:rsidP="00CA51E5"/>
    <w:p w14:paraId="5E38A84C" w14:textId="77777777" w:rsidR="00CA51E5" w:rsidRDefault="00CA51E5" w:rsidP="00CA51E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593285B4" w14:textId="77777777" w:rsidR="00675434" w:rsidRPr="004C6CBE" w:rsidRDefault="00675434" w:rsidP="00CA51E5">
      <w:pPr>
        <w:spacing w:line="288" w:lineRule="auto"/>
        <w:jc w:val="right"/>
        <w:rPr>
          <w:rStyle w:val="Hyperlink"/>
          <w:rFonts w:ascii="Aptos" w:eastAsia="Malgun Gothic" w:hAnsi="Aptos" w:cs="Times New Roman"/>
          <w:color w:val="002060"/>
        </w:rPr>
      </w:pPr>
    </w:p>
    <w:p w14:paraId="459B5673" w14:textId="77777777" w:rsidR="00720997" w:rsidRPr="00720997" w:rsidRDefault="00720997" w:rsidP="00720997"/>
    <w:p w14:paraId="585AB321" w14:textId="77777777" w:rsidR="00CA51E5" w:rsidRPr="00CA51E5" w:rsidRDefault="00CA51E5" w:rsidP="00CA51E5">
      <w:pPr>
        <w:spacing w:after="161" w:line="288" w:lineRule="auto"/>
        <w:jc w:val="both"/>
        <w:outlineLvl w:val="0"/>
        <w:rPr>
          <w:rFonts w:ascii="Aptos" w:eastAsia="Times New Roman" w:hAnsi="Aptos" w:cs="Times New Roman"/>
          <w:b/>
          <w:bCs/>
          <w:color w:val="002060"/>
          <w:kern w:val="36"/>
          <w:sz w:val="28"/>
          <w:szCs w:val="28"/>
        </w:rPr>
      </w:pPr>
      <w:bookmarkStart w:id="1168" w:name="_Toc218772690"/>
      <w:r w:rsidRPr="00CA51E5">
        <w:rPr>
          <w:rFonts w:ascii="Aptos" w:eastAsia="Times New Roman" w:hAnsi="Aptos" w:cs="Times New Roman"/>
          <w:b/>
          <w:bCs/>
          <w:color w:val="002060"/>
          <w:kern w:val="36"/>
          <w:sz w:val="28"/>
          <w:szCs w:val="28"/>
        </w:rPr>
        <w:t>New decree spurs on PPP implementation</w:t>
      </w:r>
      <w:bookmarkEnd w:id="1168"/>
    </w:p>
    <w:p w14:paraId="0C05EEA8" w14:textId="5A04243B" w:rsidR="00CA51E5" w:rsidRPr="00CA51E5" w:rsidRDefault="00CA51E5" w:rsidP="00CA51E5">
      <w:pPr>
        <w:spacing w:after="150" w:line="288" w:lineRule="auto"/>
        <w:jc w:val="both"/>
        <w:rPr>
          <w:rFonts w:ascii="Aptos" w:eastAsia="Times New Roman" w:hAnsi="Aptos" w:cs="Times New Roman"/>
          <w:i/>
          <w:iCs/>
          <w:color w:val="002060"/>
          <w:sz w:val="18"/>
          <w:szCs w:val="18"/>
        </w:rPr>
      </w:pPr>
      <w:r w:rsidRPr="00CA51E5">
        <w:rPr>
          <w:rFonts w:ascii="Aptos" w:eastAsia="Times New Roman" w:hAnsi="Aptos" w:cs="Times New Roman"/>
          <w:i/>
          <w:iCs/>
          <w:color w:val="002060"/>
          <w:sz w:val="18"/>
          <w:szCs w:val="18"/>
        </w:rPr>
        <w:t>VIR</w:t>
      </w:r>
    </w:p>
    <w:p w14:paraId="5AA14905" w14:textId="77777777" w:rsidR="00CA51E5" w:rsidRPr="00CA51E5" w:rsidRDefault="00CA51E5" w:rsidP="00CA51E5">
      <w:pPr>
        <w:spacing w:after="150" w:line="288" w:lineRule="auto"/>
        <w:jc w:val="both"/>
        <w:rPr>
          <w:rFonts w:ascii="Aptos" w:eastAsia="Times New Roman" w:hAnsi="Aptos" w:cs="Times New Roman"/>
          <w:color w:val="002060"/>
        </w:rPr>
      </w:pPr>
      <w:r w:rsidRPr="00CA51E5">
        <w:rPr>
          <w:rFonts w:ascii="Aptos" w:eastAsia="Times New Roman" w:hAnsi="Aptos" w:cs="Times New Roman"/>
          <w:color w:val="002060"/>
        </w:rPr>
        <w:t>As public-private partnerships (PPP) play an increasingly vital role in national infrastructure development, removing financial bottlenecks has become a priority to unlock resources.</w:t>
      </w:r>
    </w:p>
    <w:p w14:paraId="787B222D"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The Ministry of Finance has advised the government on developing a new legal framework for financial management of PPP investment activities.</w:t>
      </w:r>
    </w:p>
    <w:p w14:paraId="26DAFEA0"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 xml:space="preserve">Decree </w:t>
      </w:r>
      <w:proofErr w:type="spellStart"/>
      <w:r w:rsidRPr="00CA51E5">
        <w:rPr>
          <w:rFonts w:ascii="Aptos" w:eastAsia="Times New Roman" w:hAnsi="Aptos" w:cs="Times New Roman"/>
          <w:color w:val="002060"/>
        </w:rPr>
        <w:t>No.312</w:t>
      </w:r>
      <w:proofErr w:type="spellEnd"/>
      <w:r w:rsidRPr="00CA51E5">
        <w:rPr>
          <w:rFonts w:ascii="Aptos" w:eastAsia="Times New Roman" w:hAnsi="Aptos" w:cs="Times New Roman"/>
          <w:color w:val="002060"/>
        </w:rPr>
        <w:t>/2025/ND-CP was designed to simplify administrative procedures to facilitate businesses, while at the same time ensuring the effectiveness and efficiency of state management.</w:t>
      </w:r>
    </w:p>
    <w:p w14:paraId="3A6717B8" w14:textId="77777777" w:rsidR="00CA51E5" w:rsidRPr="00CA51E5" w:rsidRDefault="00CA51E5" w:rsidP="00CA51E5">
      <w:pPr>
        <w:spacing w:line="288" w:lineRule="auto"/>
        <w:jc w:val="both"/>
        <w:rPr>
          <w:rFonts w:ascii="Aptos" w:eastAsia="Times New Roman" w:hAnsi="Aptos" w:cs="Times New Roman"/>
          <w:color w:val="002060"/>
        </w:rPr>
      </w:pPr>
      <w:r w:rsidRPr="00CA51E5">
        <w:rPr>
          <w:rFonts w:ascii="Aptos" w:eastAsia="Times New Roman" w:hAnsi="Aptos" w:cs="Times New Roman"/>
          <w:color w:val="002060"/>
        </w:rPr>
        <w:t>A notable innovation of Decree 312, lies in revising financial planning and the principles for managing and disbursing state capital to support PPP projects, making them more consistent with practical implementation as well as with the functions and mandates of relevant agencies.</w:t>
      </w:r>
    </w:p>
    <w:p w14:paraId="06C68B7C"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Although financial plans for PPP projects had been relatively regulated under Decree No. 28/2021/ND-CP, practical implementation reveals the need for further refinement.</w:t>
      </w:r>
    </w:p>
    <w:p w14:paraId="09E1BCBD"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lastRenderedPageBreak/>
        <w:t>The new regulations provide greater clarity on payment based on the value of completed work. Previously, the PPP contract-signing authority was required to provide information on completed volumes and their value to prepare a consolidated payment request.</w:t>
      </w:r>
    </w:p>
    <w:p w14:paraId="341243FA"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This requirement results in payment authorities having to control and verify the actual completed volumes, even though they were not the contracting party and have insufficient legal and practical grounds to assess construction volumes, relying mainly on documentation and paperwork.</w:t>
      </w:r>
    </w:p>
    <w:p w14:paraId="3BC692D4"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To address these concerns, Decree 312 reviews the mechanism so that the state makes payments to investors or PPP project enterprises based on the value of completed work volumes proposed by the agency assigned to manage the state capital in the project.</w:t>
      </w:r>
    </w:p>
    <w:p w14:paraId="4BFBB405"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Under the new regulation, both the state capital management agency and the investor or project enterprise bear full responsibility for the truthfulness and accuracy of the reported work volumes and the value of completed work when requesting payment.</w:t>
      </w:r>
    </w:p>
    <w:p w14:paraId="1235F7F7"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This approach not only better aligns with management practices and the functions and responsibilities of the State Treasury system, but also significantly enhances the accountability of agencies managing the state capital portion in </w:t>
      </w:r>
      <w:hyperlink r:id="rId11" w:history="1">
        <w:r w:rsidRPr="00CA51E5">
          <w:rPr>
            <w:rFonts w:ascii="Aptos" w:eastAsia="Times New Roman" w:hAnsi="Aptos" w:cs="Times New Roman"/>
            <w:color w:val="002060"/>
            <w:u w:val="single"/>
          </w:rPr>
          <w:t>PPP projects</w:t>
        </w:r>
      </w:hyperlink>
      <w:r w:rsidRPr="00CA51E5">
        <w:rPr>
          <w:rFonts w:ascii="Aptos" w:eastAsia="Times New Roman" w:hAnsi="Aptos" w:cs="Times New Roman"/>
          <w:color w:val="002060"/>
        </w:rPr>
        <w:t>, thereby contributing to stronger fiscal discipline and greater efficiency in public spending.</w:t>
      </w:r>
    </w:p>
    <w:p w14:paraId="3B767188"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In addition, Decree 312 revises and supplements provisions related to the disbursement of public investment capital for subprojects, with the aim of using state funds more effectively and supporting investors.</w:t>
      </w:r>
    </w:p>
    <w:p w14:paraId="49EE4E17"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Previously, subprojects could be paid a maximum of 50 per cent of the approved estimated value, with the remainder disbursed only after the entire project was completed, and there was no mechanism for advance payment of public investment capital.</w:t>
      </w:r>
    </w:p>
    <w:p w14:paraId="5636A078"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In response to recommendations, Decree 312 abolishes the 50 per cent payment cap and allows payments to be made based on the value of completed work volumes, without necessarily waiting for final acceptance of the entire project.</w:t>
      </w:r>
    </w:p>
    <w:p w14:paraId="08B70CD0"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 xml:space="preserve">Decree 312 also introduces a mechanism allowing advance payments of public investment capital for PPP subprojects, </w:t>
      </w:r>
      <w:proofErr w:type="gramStart"/>
      <w:r w:rsidRPr="00CA51E5">
        <w:rPr>
          <w:rFonts w:ascii="Aptos" w:eastAsia="Times New Roman" w:hAnsi="Aptos" w:cs="Times New Roman"/>
          <w:color w:val="002060"/>
        </w:rPr>
        <w:t>provided that</w:t>
      </w:r>
      <w:proofErr w:type="gramEnd"/>
      <w:r w:rsidRPr="00CA51E5">
        <w:rPr>
          <w:rFonts w:ascii="Aptos" w:eastAsia="Times New Roman" w:hAnsi="Aptos" w:cs="Times New Roman"/>
          <w:color w:val="002060"/>
        </w:rPr>
        <w:t xml:space="preserve"> investors submit a contract guarantee corresponding to the advanced amount.</w:t>
      </w:r>
    </w:p>
    <w:p w14:paraId="71734CA5"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These adjustments are expected to significantly reduce pressure on borrowing and interest costs for investors, thereby enhancing the financial considerations of PPP projects.</w:t>
      </w:r>
    </w:p>
    <w:p w14:paraId="6F5041E9"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Regarding payment procedures, Decree 312 considerably simplifies and shortens processing times.</w:t>
      </w:r>
    </w:p>
    <w:p w14:paraId="74FD7E1A"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The time for handling payment dossiers has been reduced from three days to a maximum of two days, while advance payment processing has been cut to one day, enabling investors and enterprises to access state budget support more quickly.</w:t>
      </w:r>
    </w:p>
    <w:p w14:paraId="3BDBB264"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Overall, Decree 312 is assessed as having streamlined and unified the core aspects of financial management for PPP projects, clearly defining financial plans, accounting methods, and procedures for payment and settlement.</w:t>
      </w:r>
    </w:p>
    <w:p w14:paraId="76578569"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This provides a solid legal basis for all parties to properly fulfill their responsibilities and follow due processes in managing and using state capital.</w:t>
      </w:r>
    </w:p>
    <w:p w14:paraId="16A5FA3E"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lastRenderedPageBreak/>
        <w:t>Bui Viet Hung, deputy director general of the Department of Infrastructure Development under the Ministry of Finance, noted that the new regulations on procedures and documentation for disbursing state capital, particularly the changes related to payment and advance funding for subprojects using public investment capital, together with sharing mechanisms and transitional provisions, have helped to ease concerns and meet the expectations of private investors investing in infrastructure projects under the PPP model.</w:t>
      </w:r>
    </w:p>
    <w:p w14:paraId="787DE1FB"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According to Hung, the new decree marks an initial move towards applying international practices in the financial management of PPP projects, with management based on output results.</w:t>
      </w:r>
    </w:p>
    <w:p w14:paraId="105342A3" w14:textId="77777777" w:rsidR="00CA51E5" w:rsidRPr="00CA51E5" w:rsidRDefault="00CA51E5" w:rsidP="00CA51E5">
      <w:pPr>
        <w:spacing w:after="225" w:line="288" w:lineRule="auto"/>
        <w:jc w:val="both"/>
        <w:rPr>
          <w:rFonts w:ascii="Aptos" w:eastAsia="Times New Roman" w:hAnsi="Aptos" w:cs="Times New Roman"/>
          <w:color w:val="002060"/>
        </w:rPr>
      </w:pPr>
      <w:r w:rsidRPr="00CA51E5">
        <w:rPr>
          <w:rFonts w:ascii="Aptos" w:eastAsia="Times New Roman" w:hAnsi="Aptos" w:cs="Times New Roman"/>
          <w:color w:val="002060"/>
        </w:rPr>
        <w:t xml:space="preserve">Meanwhile, strengthening </w:t>
      </w:r>
      <w:proofErr w:type="spellStart"/>
      <w:r w:rsidRPr="00CA51E5">
        <w:rPr>
          <w:rFonts w:ascii="Aptos" w:eastAsia="Times New Roman" w:hAnsi="Aptos" w:cs="Times New Roman"/>
          <w:color w:val="002060"/>
        </w:rPr>
        <w:t>decentralisation</w:t>
      </w:r>
      <w:proofErr w:type="spellEnd"/>
      <w:r w:rsidRPr="00CA51E5">
        <w:rPr>
          <w:rFonts w:ascii="Aptos" w:eastAsia="Times New Roman" w:hAnsi="Aptos" w:cs="Times New Roman"/>
          <w:color w:val="002060"/>
        </w:rPr>
        <w:t xml:space="preserve"> in tandem with enhancing accountability for managing the state capital portion by the agency assigned to oversee PPP projects helps ensure tighter and more realistic capital management, thereby improving the efficiency of public resource </w:t>
      </w:r>
      <w:proofErr w:type="spellStart"/>
      <w:r w:rsidRPr="00CA51E5">
        <w:rPr>
          <w:rFonts w:ascii="Aptos" w:eastAsia="Times New Roman" w:hAnsi="Aptos" w:cs="Times New Roman"/>
          <w:color w:val="002060"/>
        </w:rPr>
        <w:t>utilisation</w:t>
      </w:r>
      <w:proofErr w:type="spellEnd"/>
      <w:r w:rsidRPr="00CA51E5">
        <w:rPr>
          <w:rFonts w:ascii="Aptos" w:eastAsia="Times New Roman" w:hAnsi="Aptos" w:cs="Times New Roman"/>
          <w:color w:val="002060"/>
        </w:rPr>
        <w:t>.</w:t>
      </w:r>
    </w:p>
    <w:p w14:paraId="6030AD71" w14:textId="166365FA" w:rsidR="00765CDF" w:rsidRDefault="00CA51E5" w:rsidP="00CA51E5">
      <w:pPr>
        <w:spacing w:line="288" w:lineRule="auto"/>
        <w:jc w:val="both"/>
        <w:rPr>
          <w:rFonts w:ascii="Aptos" w:eastAsia="Times New Roman" w:hAnsi="Aptos" w:cs="Times New Roman"/>
          <w:color w:val="002060"/>
        </w:rPr>
      </w:pPr>
      <w:r w:rsidRPr="00CA51E5">
        <w:rPr>
          <w:rFonts w:ascii="Aptos" w:eastAsia="Times New Roman" w:hAnsi="Aptos" w:cs="Times New Roman"/>
          <w:color w:val="002060"/>
        </w:rPr>
        <w:t xml:space="preserve">“Decree 312 demonstrates the government's commitment to improving financial management policies for PPP projects, ensuring fairness, transparency, and consistency with the principles of risk sharing and </w:t>
      </w:r>
      <w:proofErr w:type="spellStart"/>
      <w:r w:rsidRPr="00CA51E5">
        <w:rPr>
          <w:rFonts w:ascii="Aptos" w:eastAsia="Times New Roman" w:hAnsi="Aptos" w:cs="Times New Roman"/>
          <w:color w:val="002060"/>
        </w:rPr>
        <w:t>harmonised</w:t>
      </w:r>
      <w:proofErr w:type="spellEnd"/>
      <w:r w:rsidRPr="00CA51E5">
        <w:rPr>
          <w:rFonts w:ascii="Aptos" w:eastAsia="Times New Roman" w:hAnsi="Aptos" w:cs="Times New Roman"/>
          <w:color w:val="002060"/>
        </w:rPr>
        <w:t xml:space="preserve"> benefits,” he said.</w:t>
      </w:r>
    </w:p>
    <w:p w14:paraId="7228C37A" w14:textId="77777777" w:rsidR="00CA51E5" w:rsidRPr="00CA51E5" w:rsidRDefault="00CA51E5" w:rsidP="00CA51E5">
      <w:pPr>
        <w:spacing w:line="288" w:lineRule="auto"/>
        <w:jc w:val="both"/>
        <w:rPr>
          <w:rFonts w:ascii="Aptos" w:eastAsia="Times New Roman" w:hAnsi="Aptos" w:cs="Times New Roman"/>
          <w:color w:val="002060"/>
        </w:rPr>
      </w:pPr>
    </w:p>
    <w:p w14:paraId="2D117245" w14:textId="3D975B70" w:rsidR="00C810AC" w:rsidRDefault="00935517" w:rsidP="00C810AC">
      <w:pPr>
        <w:spacing w:line="288" w:lineRule="auto"/>
        <w:jc w:val="right"/>
        <w:rPr>
          <w:rStyle w:val="Hyperlink"/>
          <w:rFonts w:ascii="Aptos" w:eastAsia="Malgun Gothic" w:hAnsi="Aptos" w:cs="Times New Roman"/>
          <w:color w:val="002060"/>
        </w:rPr>
      </w:pPr>
      <w:hyperlink w:anchor="_top" w:history="1">
        <w:r w:rsidR="007D0B2D" w:rsidRPr="004C6CBE">
          <w:rPr>
            <w:rStyle w:val="Hyperlink"/>
            <w:rFonts w:ascii="Aptos" w:eastAsia="Malgun Gothic" w:hAnsi="Aptos" w:cs="Times New Roman"/>
            <w:color w:val="002060"/>
          </w:rPr>
          <w:t>Back to Top</w:t>
        </w:r>
      </w:hyperlink>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nn_sans_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379031">
    <w:abstractNumId w:val="1"/>
  </w:num>
  <w:num w:numId="2" w16cid:durableId="73485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21C"/>
    <w:rsid w:val="00165317"/>
    <w:rsid w:val="00165974"/>
    <w:rsid w:val="00165F3E"/>
    <w:rsid w:val="0016610D"/>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38AF"/>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5CDF"/>
    <w:rsid w:val="00766293"/>
    <w:rsid w:val="0076747D"/>
    <w:rsid w:val="007674C1"/>
    <w:rsid w:val="00767F51"/>
    <w:rsid w:val="007707EC"/>
    <w:rsid w:val="00770ECF"/>
    <w:rsid w:val="007711C9"/>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AE5"/>
    <w:rsid w:val="00846BB1"/>
    <w:rsid w:val="00846BF2"/>
    <w:rsid w:val="00846CC4"/>
    <w:rsid w:val="00847364"/>
    <w:rsid w:val="0084776C"/>
    <w:rsid w:val="0085087F"/>
    <w:rsid w:val="00850D96"/>
    <w:rsid w:val="008514BC"/>
    <w:rsid w:val="00851505"/>
    <w:rsid w:val="00851BB2"/>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517"/>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1D87"/>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7D3"/>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1838AF"/>
    <w:pPr>
      <w:spacing w:before="120" w:after="120"/>
    </w:pPr>
    <w:rPr>
      <w:rFonts w:ascii="Aptos" w:hAnsi="Aptos"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regulatory-tailwinds-impact-aviation-ppps-133715.html" TargetMode="External"/><Relationship Id="rId5" Type="http://schemas.openxmlformats.org/officeDocument/2006/relationships/webSettings" Target="webSettings.xml"/><Relationship Id="rId10" Type="http://schemas.openxmlformats.org/officeDocument/2006/relationships/hyperlink" Target="https://vir.com.vn/search_enginer.html?p=search&amp;q=GE%20Vernova" TargetMode="External"/><Relationship Id="rId4" Type="http://schemas.openxmlformats.org/officeDocument/2006/relationships/settings" Target="settings.xml"/><Relationship Id="rId9" Type="http://schemas.openxmlformats.org/officeDocument/2006/relationships/hyperlink" Target="http://tuoitrenews.v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9327</Words>
  <Characters>53167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62370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2026-01-08T03:01:00Z</dcterms:created>
  <dcterms:modified xsi:type="dcterms:W3CDTF">2026-01-08T07:06:00Z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