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5144447"/>
    <w:bookmarkStart w:id="1" w:name="_Toc356553905"/>
    <w:bookmarkStart w:id="2" w:name="_Toc356553938"/>
    <w:bookmarkStart w:id="3" w:name="_Toc356554442"/>
    <w:bookmarkStart w:id="4" w:name="_Toc356554664"/>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76240"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Pr="009C70BE"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54C5AF67" w14:textId="3D069267" w:rsidR="005D5A13" w:rsidRPr="004C6CBE" w:rsidRDefault="005D5A13" w:rsidP="005D5A13">
      <w:pPr>
        <w:rPr>
          <w:rFonts w:ascii="Aptos" w:eastAsia="Malgun Gothic" w:hAnsi="Aptos" w:cs="Aptos"/>
          <w:sz w:val="24"/>
          <w:szCs w:val="24"/>
        </w:rPr>
      </w:pPr>
    </w:p>
    <w:p w14:paraId="402B43AC" w14:textId="77777777" w:rsidR="004D1540" w:rsidRDefault="004D1540" w:rsidP="005D5A13">
      <w:pPr>
        <w:rPr>
          <w:rFonts w:ascii="Aptos" w:eastAsia="Malgun Gothic" w:hAnsi="Aptos"/>
        </w:rPr>
      </w:pPr>
    </w:p>
    <w:p w14:paraId="1B165F07" w14:textId="77777777" w:rsidR="00982DCA" w:rsidRPr="004C6CBE" w:rsidRDefault="00982DCA" w:rsidP="005D5A13">
      <w:pPr>
        <w:rPr>
          <w:rFonts w:ascii="Aptos" w:eastAsia="Malgun Gothic" w:hAnsi="Aptos"/>
        </w:rPr>
      </w:pPr>
    </w:p>
    <w:p w14:paraId="7AEF6564" w14:textId="3B5A35BD" w:rsidR="00A35602" w:rsidRPr="009A69E6" w:rsidRDefault="009119D4" w:rsidP="009A69E6">
      <w:pPr>
        <w:pStyle w:val="TOC1"/>
        <w:rPr>
          <w:rStyle w:val="Hyperlink"/>
          <w:color w:val="0070C0"/>
          <w:sz w:val="28"/>
        </w:rPr>
      </w:pPr>
      <w:r w:rsidRPr="009A69E6">
        <w:rPr>
          <w:rStyle w:val="Hyperlink"/>
          <w:color w:val="0070C0"/>
          <w:sz w:val="28"/>
          <w:szCs w:val="22"/>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0440F4A3" w14:textId="77777777" w:rsidR="00DE4AAB" w:rsidRPr="00DE4AAB" w:rsidRDefault="00DE4AAB" w:rsidP="00DE4AAB"/>
    <w:p w14:paraId="663A6138" w14:textId="5DB593FA" w:rsidR="00DE4AAB" w:rsidRPr="009A69E6" w:rsidRDefault="0023034E" w:rsidP="009A69E6">
      <w:pPr>
        <w:pStyle w:val="TOC1"/>
        <w:rPr>
          <w:rStyle w:val="Hyperlink"/>
          <w:color w:val="0070C0"/>
        </w:rPr>
      </w:pPr>
      <w:r w:rsidRPr="009A69E6">
        <w:rPr>
          <w:rStyle w:val="Hyperlink"/>
          <w:color w:val="0070C0"/>
          <w:sz w:val="22"/>
          <w:szCs w:val="18"/>
        </w:rPr>
        <w:fldChar w:fldCharType="begin"/>
      </w:r>
      <w:r w:rsidRPr="009A69E6">
        <w:rPr>
          <w:rStyle w:val="Hyperlink"/>
          <w:color w:val="0070C0"/>
          <w:sz w:val="22"/>
          <w:szCs w:val="18"/>
        </w:rPr>
        <w:instrText xml:space="preserve"> TOC \o "1-3" \n \h \z \u </w:instrText>
      </w:r>
      <w:r w:rsidRPr="009A69E6">
        <w:rPr>
          <w:rStyle w:val="Hyperlink"/>
          <w:color w:val="0070C0"/>
          <w:sz w:val="22"/>
          <w:szCs w:val="18"/>
        </w:rPr>
        <w:fldChar w:fldCharType="separate"/>
      </w:r>
      <w:hyperlink w:anchor="_Toc220587246" w:history="1">
        <w:r w:rsidR="00DE4AAB" w:rsidRPr="009A69E6">
          <w:rPr>
            <w:rStyle w:val="Hyperlink"/>
            <w:color w:val="0070C0"/>
          </w:rPr>
          <w:t>TOP NEWS</w:t>
        </w:r>
      </w:hyperlink>
    </w:p>
    <w:p w14:paraId="68B08E10" w14:textId="45305FDD" w:rsidR="00DE4AAB" w:rsidRPr="009A69E6" w:rsidRDefault="00DE4AAB" w:rsidP="009A69E6">
      <w:pPr>
        <w:pStyle w:val="TOC1"/>
        <w:rPr>
          <w:rStyle w:val="Hyperlink"/>
          <w:color w:val="0070C0"/>
          <w:sz w:val="22"/>
          <w:szCs w:val="18"/>
        </w:rPr>
      </w:pPr>
      <w:hyperlink w:anchor="_Toc220587247" w:history="1">
        <w:r w:rsidRPr="009A69E6">
          <w:rPr>
            <w:rStyle w:val="Hyperlink"/>
            <w:rFonts w:asciiTheme="minorHAnsi" w:hAnsiTheme="minorHAnsi"/>
            <w:color w:val="0070C0"/>
            <w:sz w:val="22"/>
            <w:szCs w:val="18"/>
          </w:rPr>
          <w:t>Người Quan Sát interviewing Dr Oliver Massmann on the trend for the global economy for the year 2026</w:t>
        </w:r>
      </w:hyperlink>
    </w:p>
    <w:p w14:paraId="5846EB28" w14:textId="3913DC64" w:rsidR="00DE4AAB" w:rsidRPr="009A69E6" w:rsidRDefault="00DE4AAB" w:rsidP="009A69E6">
      <w:pPr>
        <w:pStyle w:val="TOC1"/>
        <w:rPr>
          <w:rStyle w:val="Hyperlink"/>
          <w:color w:val="0070C0"/>
        </w:rPr>
      </w:pPr>
      <w:hyperlink w:anchor="_Toc220587248" w:history="1">
        <w:r w:rsidRPr="009A69E6">
          <w:rPr>
            <w:rStyle w:val="Hyperlink"/>
            <w:color w:val="0070C0"/>
          </w:rPr>
          <w:t>FINANCE</w:t>
        </w:r>
      </w:hyperlink>
    </w:p>
    <w:p w14:paraId="33B83439" w14:textId="32B00C0A" w:rsidR="00DE4AAB" w:rsidRPr="009A69E6" w:rsidRDefault="00DE4AAB" w:rsidP="009A69E6">
      <w:pPr>
        <w:pStyle w:val="TOC1"/>
        <w:rPr>
          <w:rStyle w:val="Hyperlink"/>
          <w:color w:val="0070C0"/>
          <w:sz w:val="22"/>
          <w:szCs w:val="18"/>
        </w:rPr>
      </w:pPr>
      <w:hyperlink w:anchor="_Toc220587249" w:history="1">
        <w:r w:rsidRPr="009A69E6">
          <w:rPr>
            <w:rStyle w:val="Hyperlink"/>
            <w:rFonts w:asciiTheme="minorHAnsi" w:hAnsiTheme="minorHAnsi"/>
            <w:color w:val="0070C0"/>
            <w:sz w:val="22"/>
            <w:szCs w:val="18"/>
          </w:rPr>
          <w:t>Fitch Ratings upgrades Vietnam’s senior secured long-term debt rating to BBB</w:t>
        </w:r>
      </w:hyperlink>
    </w:p>
    <w:p w14:paraId="50D05FF0" w14:textId="58F25EB3" w:rsidR="00DE4AAB" w:rsidRPr="009A69E6" w:rsidRDefault="00DE4AAB" w:rsidP="009A69E6">
      <w:pPr>
        <w:pStyle w:val="TOC1"/>
        <w:rPr>
          <w:rStyle w:val="Hyperlink"/>
          <w:color w:val="0070C0"/>
          <w:sz w:val="22"/>
          <w:szCs w:val="18"/>
        </w:rPr>
      </w:pPr>
      <w:hyperlink w:anchor="_Toc220587252" w:history="1">
        <w:r w:rsidRPr="009A69E6">
          <w:rPr>
            <w:rStyle w:val="Hyperlink"/>
            <w:rFonts w:asciiTheme="minorHAnsi" w:hAnsiTheme="minorHAnsi"/>
            <w:color w:val="0070C0"/>
            <w:sz w:val="22"/>
            <w:szCs w:val="18"/>
          </w:rPr>
          <w:t>Vietnam becomes 46th country to legalize crypto assets</w:t>
        </w:r>
      </w:hyperlink>
    </w:p>
    <w:p w14:paraId="685C01E2" w14:textId="70D34ECD" w:rsidR="00DE4AAB" w:rsidRPr="009A69E6" w:rsidRDefault="00DE4AAB" w:rsidP="009A69E6">
      <w:pPr>
        <w:pStyle w:val="TOC1"/>
        <w:rPr>
          <w:rStyle w:val="Hyperlink"/>
          <w:color w:val="0070C0"/>
        </w:rPr>
      </w:pPr>
      <w:hyperlink w:anchor="_Toc220587254" w:history="1">
        <w:r w:rsidRPr="009A69E6">
          <w:rPr>
            <w:rStyle w:val="Hyperlink"/>
            <w:color w:val="0070C0"/>
          </w:rPr>
          <w:t>ECONOMY</w:t>
        </w:r>
      </w:hyperlink>
    </w:p>
    <w:p w14:paraId="2CC11A0A" w14:textId="3C8F7A5C" w:rsidR="00DE4AAB" w:rsidRPr="009A69E6" w:rsidRDefault="00DE4AAB" w:rsidP="009A69E6">
      <w:pPr>
        <w:pStyle w:val="TOC1"/>
        <w:rPr>
          <w:rStyle w:val="Hyperlink"/>
          <w:color w:val="0070C0"/>
          <w:sz w:val="22"/>
          <w:szCs w:val="18"/>
        </w:rPr>
      </w:pPr>
      <w:hyperlink w:anchor="_Toc220587255" w:history="1">
        <w:r w:rsidRPr="009A69E6">
          <w:rPr>
            <w:rStyle w:val="Hyperlink"/>
            <w:rFonts w:asciiTheme="minorHAnsi" w:hAnsiTheme="minorHAnsi"/>
            <w:color w:val="0070C0"/>
            <w:sz w:val="22"/>
            <w:szCs w:val="18"/>
          </w:rPr>
          <w:t>Việt Nam’s GDP growth may reach 10% in 2026 under upside scenario: VinaCapital</w:t>
        </w:r>
      </w:hyperlink>
    </w:p>
    <w:p w14:paraId="25670BAA" w14:textId="42566E0E" w:rsidR="00DE4AAB" w:rsidRPr="009A69E6" w:rsidRDefault="00DE4AAB" w:rsidP="009A69E6">
      <w:pPr>
        <w:pStyle w:val="TOC1"/>
        <w:rPr>
          <w:rStyle w:val="Hyperlink"/>
          <w:color w:val="0070C0"/>
          <w:sz w:val="22"/>
          <w:szCs w:val="18"/>
        </w:rPr>
      </w:pPr>
      <w:hyperlink w:anchor="_Toc220587257" w:history="1">
        <w:r w:rsidRPr="009A69E6">
          <w:rPr>
            <w:rStyle w:val="Hyperlink"/>
            <w:rFonts w:asciiTheme="minorHAnsi" w:hAnsiTheme="minorHAnsi"/>
            <w:color w:val="0070C0"/>
            <w:sz w:val="22"/>
            <w:szCs w:val="18"/>
          </w:rPr>
          <w:t>Resolution 68 seen as catalyst for private investment in key infrastructure projects: official</w:t>
        </w:r>
      </w:hyperlink>
    </w:p>
    <w:p w14:paraId="7D373A18" w14:textId="20518A1D" w:rsidR="00DE4AAB" w:rsidRPr="009A69E6" w:rsidRDefault="00DE4AAB" w:rsidP="009A69E6">
      <w:pPr>
        <w:pStyle w:val="TOC1"/>
        <w:rPr>
          <w:rStyle w:val="Hyperlink"/>
          <w:color w:val="0070C0"/>
        </w:rPr>
      </w:pPr>
      <w:hyperlink w:anchor="_Toc220587258" w:history="1">
        <w:r w:rsidRPr="009A69E6">
          <w:rPr>
            <w:rStyle w:val="Hyperlink"/>
            <w:color w:val="0070C0"/>
          </w:rPr>
          <w:t>INVESTMENT</w:t>
        </w:r>
      </w:hyperlink>
    </w:p>
    <w:p w14:paraId="4ABC938B" w14:textId="04B98F0E" w:rsidR="00DE4AAB" w:rsidRPr="009A69E6" w:rsidRDefault="00DE4AAB" w:rsidP="009A69E6">
      <w:pPr>
        <w:pStyle w:val="TOC1"/>
        <w:rPr>
          <w:rStyle w:val="Hyperlink"/>
          <w:color w:val="0070C0"/>
          <w:sz w:val="22"/>
          <w:szCs w:val="18"/>
        </w:rPr>
      </w:pPr>
      <w:hyperlink w:anchor="_Toc220587259" w:history="1">
        <w:r w:rsidRPr="009A69E6">
          <w:rPr>
            <w:rStyle w:val="Hyperlink"/>
            <w:rFonts w:asciiTheme="minorHAnsi" w:hAnsiTheme="minorHAnsi"/>
            <w:color w:val="0070C0"/>
            <w:sz w:val="22"/>
            <w:szCs w:val="18"/>
          </w:rPr>
          <w:t>Sumitomo sets eyes on industrial infrastructure in Can Tho</w:t>
        </w:r>
      </w:hyperlink>
    </w:p>
    <w:p w14:paraId="3F7519D5" w14:textId="05375E33" w:rsidR="00DE4AAB" w:rsidRPr="009A69E6" w:rsidRDefault="00DE4AAB" w:rsidP="009A69E6">
      <w:pPr>
        <w:pStyle w:val="TOC1"/>
        <w:rPr>
          <w:rStyle w:val="Hyperlink"/>
          <w:color w:val="0070C0"/>
          <w:sz w:val="22"/>
          <w:szCs w:val="18"/>
        </w:rPr>
      </w:pPr>
      <w:hyperlink w:anchor="_Toc220587260" w:history="1">
        <w:r w:rsidRPr="009A69E6">
          <w:rPr>
            <w:rStyle w:val="Hyperlink"/>
            <w:rFonts w:asciiTheme="minorHAnsi" w:hAnsiTheme="minorHAnsi"/>
            <w:color w:val="0070C0"/>
            <w:sz w:val="22"/>
            <w:szCs w:val="18"/>
          </w:rPr>
          <w:t>SHIFT project launched to steer capital towards green growth</w:t>
        </w:r>
      </w:hyperlink>
    </w:p>
    <w:p w14:paraId="0A6CCE28" w14:textId="0F1B182A" w:rsidR="00DE4AAB" w:rsidRPr="009A69E6" w:rsidRDefault="00DE4AAB" w:rsidP="009A69E6">
      <w:pPr>
        <w:pStyle w:val="TOC1"/>
        <w:rPr>
          <w:rStyle w:val="Hyperlink"/>
          <w:color w:val="0070C0"/>
        </w:rPr>
      </w:pPr>
      <w:hyperlink w:anchor="_Toc220587261" w:history="1">
        <w:r w:rsidRPr="009A69E6">
          <w:rPr>
            <w:rStyle w:val="Hyperlink"/>
            <w:color w:val="0070C0"/>
          </w:rPr>
          <w:t>PROPERTY</w:t>
        </w:r>
      </w:hyperlink>
    </w:p>
    <w:p w14:paraId="0B2D9CD7" w14:textId="05F530AA" w:rsidR="00DE4AAB" w:rsidRPr="009A69E6" w:rsidRDefault="00DE4AAB" w:rsidP="009A69E6">
      <w:pPr>
        <w:pStyle w:val="TOC1"/>
        <w:rPr>
          <w:rStyle w:val="Hyperlink"/>
          <w:color w:val="0070C0"/>
          <w:sz w:val="22"/>
          <w:szCs w:val="18"/>
        </w:rPr>
      </w:pPr>
      <w:hyperlink w:anchor="_Toc220587262" w:history="1">
        <w:r w:rsidRPr="009A69E6">
          <w:rPr>
            <w:rStyle w:val="Hyperlink"/>
            <w:rFonts w:asciiTheme="minorHAnsi" w:hAnsiTheme="minorHAnsi"/>
            <w:color w:val="0070C0"/>
            <w:sz w:val="22"/>
            <w:szCs w:val="18"/>
          </w:rPr>
          <w:t>Dong Nai experiences shifting expectations and new industrial cycle</w:t>
        </w:r>
      </w:hyperlink>
    </w:p>
    <w:p w14:paraId="6FE6A271" w14:textId="25978CD5" w:rsidR="00DE4AAB" w:rsidRPr="009A69E6" w:rsidRDefault="00DE4AAB" w:rsidP="009A69E6">
      <w:pPr>
        <w:pStyle w:val="TOC1"/>
        <w:rPr>
          <w:rStyle w:val="Hyperlink"/>
          <w:color w:val="0070C0"/>
          <w:sz w:val="22"/>
          <w:szCs w:val="18"/>
        </w:rPr>
      </w:pPr>
      <w:hyperlink w:anchor="_Toc220587263" w:history="1">
        <w:r w:rsidRPr="009A69E6">
          <w:rPr>
            <w:rStyle w:val="Hyperlink"/>
            <w:rFonts w:asciiTheme="minorHAnsi" w:hAnsiTheme="minorHAnsi"/>
            <w:color w:val="0070C0"/>
            <w:sz w:val="22"/>
            <w:szCs w:val="18"/>
          </w:rPr>
          <w:t>An Phat 5 Industrial Park targets ESG-driven investors in Hai Phong</w:t>
        </w:r>
      </w:hyperlink>
    </w:p>
    <w:p w14:paraId="7DF2CE0C" w14:textId="76076005" w:rsidR="00DE4AAB" w:rsidRPr="009A69E6" w:rsidRDefault="00DE4AAB" w:rsidP="009A69E6">
      <w:pPr>
        <w:pStyle w:val="TOC1"/>
        <w:rPr>
          <w:rStyle w:val="Hyperlink"/>
          <w:color w:val="0070C0"/>
        </w:rPr>
      </w:pPr>
      <w:hyperlink w:anchor="_Toc220587264" w:history="1">
        <w:r w:rsidRPr="009A69E6">
          <w:rPr>
            <w:rStyle w:val="Hyperlink"/>
            <w:color w:val="0070C0"/>
          </w:rPr>
          <w:t>OIL&amp;GAS&amp;ENERGY&amp;MINING</w:t>
        </w:r>
      </w:hyperlink>
    </w:p>
    <w:p w14:paraId="66D78C15" w14:textId="33991B35" w:rsidR="00DE4AAB" w:rsidRPr="009A69E6" w:rsidRDefault="00DE4AAB" w:rsidP="009A69E6">
      <w:pPr>
        <w:pStyle w:val="TOC1"/>
        <w:rPr>
          <w:rStyle w:val="Hyperlink"/>
          <w:color w:val="0070C0"/>
          <w:sz w:val="22"/>
          <w:szCs w:val="18"/>
        </w:rPr>
      </w:pPr>
      <w:hyperlink w:anchor="_Toc220587265" w:history="1">
        <w:r w:rsidRPr="009A69E6">
          <w:rPr>
            <w:rStyle w:val="Hyperlink"/>
            <w:rFonts w:asciiTheme="minorHAnsi" w:hAnsiTheme="minorHAnsi"/>
            <w:color w:val="0070C0"/>
            <w:sz w:val="22"/>
            <w:szCs w:val="18"/>
          </w:rPr>
          <w:t>64,000 hectares of sea allocated for offshore wind surveys</w:t>
        </w:r>
      </w:hyperlink>
    </w:p>
    <w:p w14:paraId="7625E6DB" w14:textId="3783CC4C" w:rsidR="00DE4AAB" w:rsidRPr="009A69E6" w:rsidRDefault="00DE4AAB" w:rsidP="009A69E6">
      <w:pPr>
        <w:pStyle w:val="TOC1"/>
        <w:rPr>
          <w:rStyle w:val="Hyperlink"/>
          <w:color w:val="0070C0"/>
          <w:sz w:val="22"/>
          <w:szCs w:val="18"/>
        </w:rPr>
      </w:pPr>
      <w:hyperlink w:anchor="_Toc220587266" w:history="1">
        <w:r w:rsidRPr="009A69E6">
          <w:rPr>
            <w:rStyle w:val="Hyperlink"/>
            <w:rFonts w:asciiTheme="minorHAnsi" w:hAnsiTheme="minorHAnsi"/>
            <w:color w:val="0070C0"/>
            <w:sz w:val="22"/>
            <w:szCs w:val="18"/>
          </w:rPr>
          <w:t>Proposed adjustments to the National Energy Master Plan.</w:t>
        </w:r>
      </w:hyperlink>
    </w:p>
    <w:p w14:paraId="7E025437" w14:textId="22007404" w:rsidR="00DE4AAB" w:rsidRPr="009A69E6" w:rsidRDefault="00DE4AAB" w:rsidP="009A69E6">
      <w:pPr>
        <w:pStyle w:val="TOC1"/>
        <w:rPr>
          <w:rStyle w:val="Hyperlink"/>
          <w:color w:val="0070C0"/>
        </w:rPr>
      </w:pPr>
      <w:hyperlink w:anchor="_Toc220587305" w:history="1">
        <w:r w:rsidRPr="009A69E6">
          <w:rPr>
            <w:rStyle w:val="Hyperlink"/>
            <w:color w:val="0070C0"/>
          </w:rPr>
          <w:t>LEGAL</w:t>
        </w:r>
      </w:hyperlink>
    </w:p>
    <w:p w14:paraId="3A65CED9" w14:textId="7EBECFF0" w:rsidR="00DE4AAB" w:rsidRPr="009A69E6" w:rsidRDefault="00DE4AAB" w:rsidP="009A69E6">
      <w:pPr>
        <w:pStyle w:val="TOC1"/>
        <w:rPr>
          <w:rStyle w:val="Hyperlink"/>
          <w:color w:val="0070C0"/>
          <w:sz w:val="22"/>
          <w:szCs w:val="18"/>
        </w:rPr>
      </w:pPr>
      <w:hyperlink w:anchor="_Toc220587306" w:history="1">
        <w:r w:rsidRPr="009A69E6">
          <w:rPr>
            <w:rStyle w:val="Hyperlink"/>
            <w:rFonts w:asciiTheme="minorHAnsi" w:hAnsiTheme="minorHAnsi"/>
            <w:color w:val="0070C0"/>
            <w:sz w:val="22"/>
            <w:szCs w:val="18"/>
          </w:rPr>
          <w:t>Decree on data exchange platform operations expected by Q2 2026</w:t>
        </w:r>
      </w:hyperlink>
    </w:p>
    <w:p w14:paraId="68A39E4C" w14:textId="6E988CB4" w:rsidR="00DE4AAB" w:rsidRPr="009A69E6" w:rsidRDefault="00DE4AAB" w:rsidP="009A69E6">
      <w:pPr>
        <w:pStyle w:val="TOC1"/>
        <w:rPr>
          <w:rStyle w:val="Hyperlink"/>
          <w:color w:val="0070C0"/>
          <w:sz w:val="22"/>
          <w:szCs w:val="18"/>
        </w:rPr>
      </w:pPr>
      <w:hyperlink w:anchor="_Toc220587308" w:history="1">
        <w:r w:rsidRPr="009A69E6">
          <w:rPr>
            <w:rStyle w:val="Hyperlink"/>
            <w:rFonts w:asciiTheme="minorHAnsi" w:hAnsiTheme="minorHAnsi"/>
            <w:color w:val="0070C0"/>
            <w:sz w:val="22"/>
            <w:szCs w:val="18"/>
          </w:rPr>
          <w:t>New legal framework for Mobile Money to take effect in Việt  Nam soon</w:t>
        </w:r>
      </w:hyperlink>
    </w:p>
    <w:p w14:paraId="0A52B6BA" w14:textId="641CAD2B" w:rsidR="00AE3070" w:rsidRPr="009A69E6" w:rsidRDefault="0023034E" w:rsidP="009A69E6">
      <w:pPr>
        <w:pStyle w:val="TOC1"/>
        <w:rPr>
          <w:rStyle w:val="Hyperlink"/>
          <w:color w:val="0070C0"/>
          <w:sz w:val="22"/>
          <w:szCs w:val="18"/>
        </w:rPr>
      </w:pPr>
      <w:r w:rsidRPr="009A69E6">
        <w:rPr>
          <w:rStyle w:val="Hyperlink"/>
          <w:color w:val="0070C0"/>
          <w:sz w:val="22"/>
          <w:szCs w:val="18"/>
        </w:rPr>
        <w:fldChar w:fldCharType="end"/>
      </w:r>
    </w:p>
    <w:p w14:paraId="6909C838" w14:textId="77777777" w:rsidR="00DE4AAB" w:rsidRDefault="00DE4AAB" w:rsidP="00AE3070">
      <w:pPr>
        <w:rPr>
          <w:sz w:val="24"/>
          <w:szCs w:val="24"/>
        </w:rPr>
      </w:pPr>
    </w:p>
    <w:p w14:paraId="01360E25" w14:textId="77777777" w:rsidR="009A69E6" w:rsidRPr="00AE3070" w:rsidRDefault="009A69E6" w:rsidP="00AE3070">
      <w:pPr>
        <w:rPr>
          <w:sz w:val="24"/>
          <w:szCs w:val="24"/>
        </w:rPr>
      </w:pPr>
    </w:p>
    <w:p w14:paraId="539F29AE" w14:textId="7187377E" w:rsidR="0023034E" w:rsidRDefault="0023034E" w:rsidP="0023034E">
      <w:pPr>
        <w:pStyle w:val="Heading1"/>
        <w:rPr>
          <w:rFonts w:ascii="Aptos" w:eastAsia="Malgun Gothic" w:hAnsi="Aptos" w:cs="Times New Roman"/>
          <w:color w:val="002060"/>
        </w:rPr>
      </w:pPr>
      <w:bookmarkStart w:id="59" w:name="_Toc220587246"/>
      <w:r>
        <w:rPr>
          <w:rFonts w:ascii="Aptos" w:eastAsia="Malgun Gothic" w:hAnsi="Aptos" w:cs="Times New Roman"/>
          <w:color w:val="002060"/>
        </w:rPr>
        <w:t>TOP NEWS</w:t>
      </w:r>
      <w:bookmarkEnd w:id="59"/>
    </w:p>
    <w:p w14:paraId="67877BA4" w14:textId="77777777" w:rsidR="0023034E" w:rsidRDefault="0023034E" w:rsidP="00AE3070">
      <w:pPr>
        <w:rPr>
          <w:rFonts w:ascii="Aptos" w:hAnsi="Aptos"/>
          <w:b/>
          <w:bCs/>
          <w:color w:val="002060"/>
          <w:sz w:val="24"/>
          <w:szCs w:val="24"/>
        </w:rPr>
      </w:pPr>
    </w:p>
    <w:p w14:paraId="0438EFDD" w14:textId="0412FD2E" w:rsidR="00AE3070" w:rsidRPr="0023034E" w:rsidRDefault="00AE3070" w:rsidP="0023034E">
      <w:pPr>
        <w:pStyle w:val="Heading2"/>
        <w:rPr>
          <w:rFonts w:ascii="Aptos" w:hAnsi="Aptos"/>
          <w:color w:val="002060"/>
          <w:sz w:val="24"/>
          <w:szCs w:val="24"/>
        </w:rPr>
      </w:pPr>
      <w:bookmarkStart w:id="60" w:name="_Toc220587247"/>
      <w:proofErr w:type="spellStart"/>
      <w:r w:rsidRPr="0023034E">
        <w:rPr>
          <w:rFonts w:ascii="Aptos" w:hAnsi="Aptos"/>
          <w:color w:val="002060"/>
          <w:sz w:val="24"/>
          <w:szCs w:val="24"/>
        </w:rPr>
        <w:t>Người</w:t>
      </w:r>
      <w:proofErr w:type="spellEnd"/>
      <w:r w:rsidRPr="0023034E">
        <w:rPr>
          <w:rFonts w:ascii="Aptos" w:hAnsi="Aptos"/>
          <w:color w:val="002060"/>
          <w:sz w:val="24"/>
          <w:szCs w:val="24"/>
        </w:rPr>
        <w:t xml:space="preserve"> Quan </w:t>
      </w:r>
      <w:proofErr w:type="spellStart"/>
      <w:r w:rsidRPr="0023034E">
        <w:rPr>
          <w:rFonts w:ascii="Aptos" w:hAnsi="Aptos"/>
          <w:color w:val="002060"/>
          <w:sz w:val="24"/>
          <w:szCs w:val="24"/>
        </w:rPr>
        <w:t>Sát</w:t>
      </w:r>
      <w:proofErr w:type="spellEnd"/>
      <w:r w:rsidRPr="0023034E">
        <w:rPr>
          <w:rFonts w:ascii="Aptos" w:hAnsi="Aptos"/>
          <w:color w:val="002060"/>
          <w:sz w:val="24"/>
          <w:szCs w:val="24"/>
        </w:rPr>
        <w:t xml:space="preserve"> interviewing Dr Oliver Massmann on the trend for the global economy for the year 2026</w:t>
      </w:r>
      <w:bookmarkEnd w:id="60"/>
    </w:p>
    <w:p w14:paraId="4F9EE683" w14:textId="406DF558" w:rsidR="00AE3070" w:rsidRPr="00AE3070" w:rsidRDefault="00AE3070" w:rsidP="00AE3070">
      <w:pPr>
        <w:rPr>
          <w:rFonts w:ascii="Aptos" w:hAnsi="Aptos"/>
          <w:i/>
          <w:iCs/>
          <w:color w:val="002060"/>
          <w:sz w:val="18"/>
          <w:szCs w:val="18"/>
        </w:rPr>
      </w:pPr>
      <w:r w:rsidRPr="00AE3070">
        <w:rPr>
          <w:rFonts w:ascii="Aptos" w:hAnsi="Aptos"/>
          <w:i/>
          <w:iCs/>
          <w:color w:val="002060"/>
          <w:sz w:val="18"/>
          <w:szCs w:val="18"/>
        </w:rPr>
        <w:t>Dr. Oliver Massmann – Duane Morris Vietnam LLC</w:t>
      </w:r>
    </w:p>
    <w:p w14:paraId="2743F690" w14:textId="77777777" w:rsidR="00AE3070" w:rsidRPr="00AE3070" w:rsidRDefault="00AE3070" w:rsidP="00AE3070">
      <w:pPr>
        <w:jc w:val="both"/>
        <w:rPr>
          <w:rFonts w:ascii="Aptos" w:hAnsi="Aptos"/>
          <w:b/>
          <w:bCs/>
          <w:color w:val="002060"/>
        </w:rPr>
      </w:pPr>
    </w:p>
    <w:p w14:paraId="7556CC39" w14:textId="77777777" w:rsidR="00AE3070" w:rsidRPr="00AE3070" w:rsidRDefault="00AE3070" w:rsidP="00AE3070">
      <w:pPr>
        <w:jc w:val="both"/>
        <w:rPr>
          <w:rFonts w:ascii="Aptos" w:hAnsi="Aptos"/>
          <w:color w:val="002060"/>
        </w:rPr>
      </w:pPr>
      <w:proofErr w:type="spellStart"/>
      <w:r w:rsidRPr="00AE3070">
        <w:rPr>
          <w:rFonts w:ascii="Aptos" w:hAnsi="Aptos"/>
          <w:b/>
          <w:bCs/>
          <w:color w:val="002060"/>
        </w:rPr>
        <w:t>Q1</w:t>
      </w:r>
      <w:proofErr w:type="spellEnd"/>
      <w:r w:rsidRPr="00AE3070">
        <w:rPr>
          <w:rFonts w:ascii="Aptos" w:hAnsi="Aptos"/>
          <w:b/>
          <w:bCs/>
          <w:color w:val="002060"/>
        </w:rPr>
        <w:t>: From the perspective of 2025, in your view, which factors are likely to exert the strongest influence on the global economic and financial landscape in 2026?</w:t>
      </w:r>
    </w:p>
    <w:p w14:paraId="1DE5A5B7" w14:textId="77777777" w:rsidR="00AE3070" w:rsidRPr="00AE3070" w:rsidRDefault="00AE3070" w:rsidP="00AE3070">
      <w:pPr>
        <w:jc w:val="both"/>
        <w:rPr>
          <w:rFonts w:ascii="Aptos" w:hAnsi="Aptos"/>
          <w:color w:val="002060"/>
        </w:rPr>
      </w:pPr>
      <w:r w:rsidRPr="00AE3070">
        <w:rPr>
          <w:rFonts w:ascii="Aptos" w:hAnsi="Aptos"/>
          <w:color w:val="002060"/>
        </w:rPr>
        <w:lastRenderedPageBreak/>
        <w:t xml:space="preserve">Based on the current trends I see in </w:t>
      </w:r>
      <w:proofErr w:type="gramStart"/>
      <w:r w:rsidRPr="00AE3070">
        <w:rPr>
          <w:rFonts w:ascii="Aptos" w:hAnsi="Aptos"/>
          <w:color w:val="002060"/>
        </w:rPr>
        <w:t>2025,</w:t>
      </w:r>
      <w:proofErr w:type="gramEnd"/>
      <w:r w:rsidRPr="00AE3070">
        <w:rPr>
          <w:rFonts w:ascii="Aptos" w:hAnsi="Aptos"/>
          <w:color w:val="002060"/>
        </w:rPr>
        <w:t xml:space="preserve"> three main factors will shape 2026:</w:t>
      </w:r>
    </w:p>
    <w:p w14:paraId="0E130C77" w14:textId="77777777" w:rsidR="00AE3070" w:rsidRPr="00AE3070" w:rsidRDefault="00AE3070" w:rsidP="00AE3070">
      <w:pPr>
        <w:numPr>
          <w:ilvl w:val="0"/>
          <w:numId w:val="12"/>
        </w:numPr>
        <w:spacing w:after="160" w:line="256" w:lineRule="auto"/>
        <w:jc w:val="both"/>
        <w:rPr>
          <w:rFonts w:ascii="Aptos" w:hAnsi="Aptos"/>
          <w:color w:val="002060"/>
        </w:rPr>
      </w:pPr>
      <w:r w:rsidRPr="00AE3070">
        <w:rPr>
          <w:rFonts w:ascii="Aptos" w:hAnsi="Aptos"/>
          <w:b/>
          <w:bCs/>
          <w:color w:val="002060"/>
        </w:rPr>
        <w:t xml:space="preserve">The Institutionalization of "Geoeconomic Fragmentation": </w:t>
      </w:r>
      <w:r w:rsidRPr="00AE3070">
        <w:rPr>
          <w:rFonts w:ascii="Aptos" w:hAnsi="Aptos"/>
          <w:color w:val="002060"/>
        </w:rPr>
        <w:t>We have moved beyond mere trade disputes into a solidified era of economic blocs. The implementation of the US reciprocal tariff mechanism in April 2025 fundamentally altered the WTO-based order. In 2026, the primary influencer is no longer just "market efficiency" but "security alignment." For Vietnam, this means origin compliance and supply chain transparency are as critical as labor costs.</w:t>
      </w:r>
    </w:p>
    <w:p w14:paraId="0BD1E070" w14:textId="77777777" w:rsidR="00AE3070" w:rsidRPr="00AE3070" w:rsidRDefault="00AE3070" w:rsidP="00AE3070">
      <w:pPr>
        <w:numPr>
          <w:ilvl w:val="0"/>
          <w:numId w:val="12"/>
        </w:numPr>
        <w:spacing w:after="160" w:line="256" w:lineRule="auto"/>
        <w:jc w:val="both"/>
        <w:rPr>
          <w:rFonts w:ascii="Aptos" w:hAnsi="Aptos"/>
          <w:color w:val="002060"/>
        </w:rPr>
      </w:pPr>
      <w:r w:rsidRPr="00AE3070">
        <w:rPr>
          <w:rFonts w:ascii="Aptos" w:hAnsi="Aptos"/>
          <w:b/>
          <w:bCs/>
          <w:color w:val="002060"/>
        </w:rPr>
        <w:t xml:space="preserve">The "Application Phase" of AI and Energy Constraints: </w:t>
      </w:r>
      <w:r w:rsidRPr="00AE3070">
        <w:rPr>
          <w:rFonts w:ascii="Aptos" w:hAnsi="Aptos"/>
          <w:color w:val="002060"/>
        </w:rPr>
        <w:t xml:space="preserve">While 2024-2025 was about building AI infrastructure (chips and data centers), 2026 is the year of integration. The economic winners will be defined by productivity gains in non-tech sectors (legal, manufacturing, logistics). However, this is colliding with physical constraints—specifically energy availability. The race for clean power to fuel these data centers is rewriting national energy master plans (including Vietnam’s </w:t>
      </w:r>
      <w:proofErr w:type="spellStart"/>
      <w:r w:rsidRPr="00AE3070">
        <w:rPr>
          <w:rFonts w:ascii="Aptos" w:hAnsi="Aptos"/>
          <w:color w:val="002060"/>
        </w:rPr>
        <w:t>PDP8</w:t>
      </w:r>
      <w:proofErr w:type="spellEnd"/>
      <w:r w:rsidRPr="00AE3070">
        <w:rPr>
          <w:rFonts w:ascii="Aptos" w:hAnsi="Aptos"/>
          <w:color w:val="002060"/>
        </w:rPr>
        <w:t xml:space="preserve"> implementation).</w:t>
      </w:r>
    </w:p>
    <w:p w14:paraId="0D9BECCD" w14:textId="77777777" w:rsidR="00AE3070" w:rsidRPr="00AE3070" w:rsidRDefault="00AE3070" w:rsidP="00AE3070">
      <w:pPr>
        <w:numPr>
          <w:ilvl w:val="0"/>
          <w:numId w:val="12"/>
        </w:numPr>
        <w:spacing w:after="160" w:line="256" w:lineRule="auto"/>
        <w:jc w:val="both"/>
        <w:rPr>
          <w:rFonts w:ascii="Aptos" w:hAnsi="Aptos"/>
          <w:color w:val="002060"/>
        </w:rPr>
      </w:pPr>
      <w:r w:rsidRPr="00AE3070">
        <w:rPr>
          <w:rFonts w:ascii="Aptos" w:hAnsi="Aptos"/>
          <w:b/>
          <w:bCs/>
          <w:color w:val="002060"/>
        </w:rPr>
        <w:t>Digital and Green Compliance:</w:t>
      </w:r>
      <w:r w:rsidRPr="00AE3070">
        <w:rPr>
          <w:rFonts w:ascii="Aptos" w:hAnsi="Aptos"/>
          <w:color w:val="002060"/>
        </w:rPr>
        <w:t xml:space="preserve"> The global economy is no longer just about cheap labor. It is about "clean" data and "clean" energy. Countries that enforce strict data </w:t>
      </w:r>
      <w:proofErr w:type="gramStart"/>
      <w:r w:rsidRPr="00AE3070">
        <w:rPr>
          <w:rFonts w:ascii="Aptos" w:hAnsi="Aptos"/>
          <w:color w:val="002060"/>
        </w:rPr>
        <w:t>laws  and</w:t>
      </w:r>
      <w:proofErr w:type="gramEnd"/>
      <w:r w:rsidRPr="00AE3070">
        <w:rPr>
          <w:rFonts w:ascii="Aptos" w:hAnsi="Aptos"/>
          <w:color w:val="002060"/>
        </w:rPr>
        <w:t xml:space="preserve"> offer renewable energy sources will dominate the supply chain.</w:t>
      </w:r>
    </w:p>
    <w:p w14:paraId="31D82C38" w14:textId="77777777" w:rsidR="00AE3070" w:rsidRPr="00AE3070" w:rsidRDefault="00AE3070" w:rsidP="00AE3070">
      <w:pPr>
        <w:jc w:val="both"/>
        <w:rPr>
          <w:rFonts w:ascii="Aptos" w:hAnsi="Aptos"/>
          <w:color w:val="002060"/>
        </w:rPr>
      </w:pPr>
      <w:r w:rsidRPr="00AE3070">
        <w:rPr>
          <w:rFonts w:ascii="Aptos" w:hAnsi="Aptos"/>
          <w:color w:val="002060"/>
        </w:rPr>
        <w:t> </w:t>
      </w:r>
    </w:p>
    <w:p w14:paraId="4D253F94" w14:textId="77777777" w:rsidR="00AE3070" w:rsidRPr="00AE3070" w:rsidRDefault="00AE3070" w:rsidP="00AE3070">
      <w:pPr>
        <w:jc w:val="both"/>
        <w:rPr>
          <w:rFonts w:ascii="Aptos" w:hAnsi="Aptos"/>
          <w:color w:val="002060"/>
        </w:rPr>
      </w:pPr>
      <w:proofErr w:type="spellStart"/>
      <w:r w:rsidRPr="00AE3070">
        <w:rPr>
          <w:rFonts w:ascii="Aptos" w:hAnsi="Aptos"/>
          <w:b/>
          <w:bCs/>
          <w:color w:val="002060"/>
        </w:rPr>
        <w:t>Q2</w:t>
      </w:r>
      <w:proofErr w:type="spellEnd"/>
      <w:r w:rsidRPr="00AE3070">
        <w:rPr>
          <w:rFonts w:ascii="Aptos" w:hAnsi="Aptos"/>
          <w:b/>
          <w:bCs/>
          <w:color w:val="002060"/>
        </w:rPr>
        <w:t>: How, in your view, will the increase in reciprocal tariffs by major economies, specifically the United States, specifically affect global trade and the flow of goods in 2026?</w:t>
      </w:r>
    </w:p>
    <w:p w14:paraId="2904E570" w14:textId="77777777" w:rsidR="00AE3070" w:rsidRPr="00AE3070" w:rsidRDefault="00AE3070" w:rsidP="00AE3070">
      <w:pPr>
        <w:jc w:val="both"/>
        <w:rPr>
          <w:rFonts w:ascii="Aptos" w:hAnsi="Aptos"/>
          <w:color w:val="002060"/>
        </w:rPr>
      </w:pPr>
      <w:r w:rsidRPr="00AE3070">
        <w:rPr>
          <w:rFonts w:ascii="Aptos" w:hAnsi="Aptos"/>
          <w:color w:val="002060"/>
        </w:rPr>
        <w:t>The era of simple free trade is changing. The increase in US reciprocal tariffs means that the "origin" of goods matters more than ever.</w:t>
      </w:r>
    </w:p>
    <w:p w14:paraId="3BE2B6E8" w14:textId="77777777" w:rsidR="00AE3070" w:rsidRPr="00AE3070" w:rsidRDefault="00AE3070" w:rsidP="00AE3070">
      <w:pPr>
        <w:jc w:val="both"/>
        <w:rPr>
          <w:rFonts w:ascii="Aptos" w:hAnsi="Aptos"/>
          <w:color w:val="002060"/>
        </w:rPr>
      </w:pPr>
      <w:r w:rsidRPr="00AE3070">
        <w:rPr>
          <w:rFonts w:ascii="Aptos" w:hAnsi="Aptos"/>
          <w:color w:val="002060"/>
        </w:rPr>
        <w:t>In 2026, global trade will not just flow to the cheapest location; it will flow to the "safest" location.</w:t>
      </w:r>
    </w:p>
    <w:p w14:paraId="038FA51F" w14:textId="77777777" w:rsidR="00AE3070" w:rsidRPr="00AE3070" w:rsidRDefault="00AE3070" w:rsidP="00AE3070">
      <w:pPr>
        <w:numPr>
          <w:ilvl w:val="0"/>
          <w:numId w:val="13"/>
        </w:numPr>
        <w:spacing w:after="160" w:line="256" w:lineRule="auto"/>
        <w:jc w:val="both"/>
        <w:rPr>
          <w:rFonts w:ascii="Aptos" w:hAnsi="Aptos"/>
          <w:color w:val="002060"/>
        </w:rPr>
      </w:pPr>
      <w:r w:rsidRPr="00AE3070">
        <w:rPr>
          <w:rFonts w:ascii="Aptos" w:hAnsi="Aptos"/>
          <w:b/>
          <w:bCs/>
          <w:color w:val="002060"/>
        </w:rPr>
        <w:t>The End of Transshipment:</w:t>
      </w:r>
      <w:r w:rsidRPr="00AE3070">
        <w:rPr>
          <w:rFonts w:ascii="Aptos" w:hAnsi="Aptos"/>
          <w:color w:val="002060"/>
        </w:rPr>
        <w:t> The US is very concerned about countries being used as a "third transit" point to bypass tariffs. If a country cannot prove exactly where its goods come from (traceability), it will be punished.</w:t>
      </w:r>
    </w:p>
    <w:p w14:paraId="38BE4AA3" w14:textId="77777777" w:rsidR="00AE3070" w:rsidRPr="00AE3070" w:rsidRDefault="00AE3070" w:rsidP="00AE3070">
      <w:pPr>
        <w:numPr>
          <w:ilvl w:val="0"/>
          <w:numId w:val="13"/>
        </w:numPr>
        <w:spacing w:after="160" w:line="256" w:lineRule="auto"/>
        <w:jc w:val="both"/>
        <w:rPr>
          <w:rFonts w:ascii="Aptos" w:hAnsi="Aptos"/>
          <w:color w:val="002060"/>
        </w:rPr>
      </w:pPr>
      <w:r w:rsidRPr="00AE3070">
        <w:rPr>
          <w:rFonts w:ascii="Aptos" w:hAnsi="Aptos"/>
          <w:b/>
          <w:bCs/>
          <w:color w:val="002060"/>
        </w:rPr>
        <w:t>The Need for "True" Manufacturing:</w:t>
      </w:r>
      <w:r w:rsidRPr="00AE3070">
        <w:rPr>
          <w:rFonts w:ascii="Aptos" w:hAnsi="Aptos"/>
          <w:color w:val="002060"/>
        </w:rPr>
        <w:t> Investors will move away from simple assembly. To avoid high tariffs, companies must move deep processing and real manufacturing into countries like Vietnam. They can no longer just stick a "Made in Vietnam" label on a product from another country.</w:t>
      </w:r>
    </w:p>
    <w:p w14:paraId="774227C7" w14:textId="77777777" w:rsidR="00AE3070" w:rsidRPr="00AE3070" w:rsidRDefault="00AE3070" w:rsidP="00AE3070">
      <w:pPr>
        <w:numPr>
          <w:ilvl w:val="0"/>
          <w:numId w:val="13"/>
        </w:numPr>
        <w:spacing w:after="160" w:line="256" w:lineRule="auto"/>
        <w:jc w:val="both"/>
        <w:rPr>
          <w:rFonts w:ascii="Aptos" w:hAnsi="Aptos"/>
          <w:color w:val="002060"/>
        </w:rPr>
      </w:pPr>
      <w:r w:rsidRPr="00AE3070">
        <w:rPr>
          <w:rFonts w:ascii="Aptos" w:hAnsi="Aptos"/>
          <w:b/>
          <w:bCs/>
          <w:color w:val="002060"/>
        </w:rPr>
        <w:t>Diversification is Key:</w:t>
      </w:r>
      <w:r w:rsidRPr="00AE3070">
        <w:rPr>
          <w:rFonts w:ascii="Aptos" w:hAnsi="Aptos"/>
          <w:color w:val="002060"/>
        </w:rPr>
        <w:t xml:space="preserve"> Because the US market is becoming harder to access, smart economies will focus on other agreements. For Vietnam, this means using the </w:t>
      </w:r>
      <w:proofErr w:type="spellStart"/>
      <w:r w:rsidRPr="00AE3070">
        <w:rPr>
          <w:rFonts w:ascii="Aptos" w:hAnsi="Aptos"/>
          <w:color w:val="002060"/>
        </w:rPr>
        <w:t>EVFTA</w:t>
      </w:r>
      <w:proofErr w:type="spellEnd"/>
      <w:r w:rsidRPr="00AE3070">
        <w:rPr>
          <w:rFonts w:ascii="Aptos" w:hAnsi="Aptos"/>
          <w:color w:val="002060"/>
        </w:rPr>
        <w:t xml:space="preserve"> (Europe) and RCEP (Asia) to balance the risk.</w:t>
      </w:r>
    </w:p>
    <w:p w14:paraId="3FFCF1F5" w14:textId="77777777" w:rsidR="00AE3070" w:rsidRPr="00AE3070" w:rsidRDefault="00AE3070" w:rsidP="00AE3070">
      <w:pPr>
        <w:jc w:val="both"/>
        <w:rPr>
          <w:rFonts w:ascii="Aptos" w:hAnsi="Aptos"/>
          <w:color w:val="002060"/>
        </w:rPr>
      </w:pPr>
      <w:r w:rsidRPr="00AE3070">
        <w:rPr>
          <w:rFonts w:ascii="Aptos" w:hAnsi="Aptos"/>
          <w:color w:val="002060"/>
        </w:rPr>
        <w:t> </w:t>
      </w:r>
    </w:p>
    <w:p w14:paraId="65DB16CC" w14:textId="77777777" w:rsidR="00AE3070" w:rsidRPr="00AE3070" w:rsidRDefault="00AE3070" w:rsidP="00AE3070">
      <w:pPr>
        <w:jc w:val="both"/>
        <w:rPr>
          <w:rFonts w:ascii="Aptos" w:hAnsi="Aptos"/>
          <w:color w:val="002060"/>
        </w:rPr>
      </w:pPr>
      <w:proofErr w:type="spellStart"/>
      <w:r w:rsidRPr="00AE3070">
        <w:rPr>
          <w:rFonts w:ascii="Aptos" w:hAnsi="Aptos"/>
          <w:b/>
          <w:bCs/>
          <w:color w:val="002060"/>
        </w:rPr>
        <w:t>Q3</w:t>
      </w:r>
      <w:proofErr w:type="spellEnd"/>
      <w:r w:rsidRPr="00AE3070">
        <w:rPr>
          <w:rFonts w:ascii="Aptos" w:hAnsi="Aptos"/>
          <w:b/>
          <w:bCs/>
          <w:color w:val="002060"/>
        </w:rPr>
        <w:t>: If global interest rates begin to ease, which markets do you believe international capital flows are most likely to return to in 2026, and why?</w:t>
      </w:r>
    </w:p>
    <w:p w14:paraId="2106854D" w14:textId="77777777" w:rsidR="00AE3070" w:rsidRPr="00AE3070" w:rsidRDefault="00AE3070" w:rsidP="00AE3070">
      <w:pPr>
        <w:jc w:val="both"/>
        <w:rPr>
          <w:rFonts w:ascii="Aptos" w:hAnsi="Aptos"/>
          <w:color w:val="002060"/>
        </w:rPr>
      </w:pPr>
      <w:r w:rsidRPr="00AE3070">
        <w:rPr>
          <w:rFonts w:ascii="Aptos" w:hAnsi="Aptos"/>
          <w:color w:val="002060"/>
        </w:rPr>
        <w:t>When interest rates go down, money looks for higher growth. In 2026, capital will not return to </w:t>
      </w:r>
      <w:r w:rsidRPr="00AE3070">
        <w:rPr>
          <w:rFonts w:ascii="Aptos" w:hAnsi="Aptos"/>
          <w:i/>
          <w:iCs/>
          <w:color w:val="002060"/>
        </w:rPr>
        <w:t>all</w:t>
      </w:r>
      <w:r w:rsidRPr="00AE3070">
        <w:rPr>
          <w:rFonts w:ascii="Aptos" w:hAnsi="Aptos"/>
          <w:color w:val="002060"/>
        </w:rPr>
        <w:t> markets; it will flow to markets that have fixed their "plumbing"—meaning their legal and financial structures.</w:t>
      </w:r>
    </w:p>
    <w:p w14:paraId="123491C0" w14:textId="77777777" w:rsidR="00AE3070" w:rsidRPr="00AE3070" w:rsidRDefault="00AE3070" w:rsidP="00AE3070">
      <w:pPr>
        <w:jc w:val="both"/>
        <w:rPr>
          <w:rFonts w:ascii="Aptos" w:hAnsi="Aptos"/>
          <w:color w:val="002060"/>
        </w:rPr>
      </w:pPr>
      <w:r w:rsidRPr="00AE3070">
        <w:rPr>
          <w:rFonts w:ascii="Aptos" w:hAnsi="Aptos"/>
          <w:color w:val="002060"/>
        </w:rPr>
        <w:t>Money will flow specifically to:</w:t>
      </w:r>
    </w:p>
    <w:p w14:paraId="05C81DC3" w14:textId="77777777" w:rsidR="00AE3070" w:rsidRPr="00AE3070" w:rsidRDefault="00AE3070" w:rsidP="00AE3070">
      <w:pPr>
        <w:numPr>
          <w:ilvl w:val="0"/>
          <w:numId w:val="14"/>
        </w:numPr>
        <w:spacing w:after="160" w:line="256" w:lineRule="auto"/>
        <w:jc w:val="both"/>
        <w:rPr>
          <w:rFonts w:ascii="Aptos" w:hAnsi="Aptos"/>
          <w:color w:val="002060"/>
        </w:rPr>
      </w:pPr>
      <w:r w:rsidRPr="00AE3070">
        <w:rPr>
          <w:rFonts w:ascii="Aptos" w:hAnsi="Aptos"/>
          <w:b/>
          <w:bCs/>
          <w:color w:val="002060"/>
        </w:rPr>
        <w:t>Markets with New "Non-Prefunding" Models:</w:t>
      </w:r>
      <w:r w:rsidRPr="00AE3070">
        <w:rPr>
          <w:rFonts w:ascii="Aptos" w:hAnsi="Aptos"/>
          <w:color w:val="002060"/>
        </w:rPr>
        <w:t> Institutional investors (the "smart money") hate locking up 100% of their cash before making a trade. Markets like Vietnam that have removed this "pre-funding" requirement will see the biggest return of capital.</w:t>
      </w:r>
    </w:p>
    <w:p w14:paraId="692A7F5B" w14:textId="77777777" w:rsidR="00AE3070" w:rsidRPr="00AE3070" w:rsidRDefault="00AE3070" w:rsidP="00AE3070">
      <w:pPr>
        <w:numPr>
          <w:ilvl w:val="0"/>
          <w:numId w:val="14"/>
        </w:numPr>
        <w:spacing w:after="160" w:line="256" w:lineRule="auto"/>
        <w:jc w:val="both"/>
        <w:rPr>
          <w:rFonts w:ascii="Aptos" w:hAnsi="Aptos"/>
          <w:color w:val="002060"/>
        </w:rPr>
      </w:pPr>
      <w:r w:rsidRPr="00AE3070">
        <w:rPr>
          <w:rFonts w:ascii="Aptos" w:hAnsi="Aptos"/>
          <w:b/>
          <w:bCs/>
          <w:color w:val="002060"/>
        </w:rPr>
        <w:t>The Banking Sector:</w:t>
      </w:r>
      <w:r w:rsidRPr="00AE3070">
        <w:rPr>
          <w:rFonts w:ascii="Aptos" w:hAnsi="Aptos"/>
          <w:color w:val="002060"/>
        </w:rPr>
        <w:t> As economies grow, banks need more money to lend. We will see foreign capital rushing to buy equity in banks, especially where foreign ownership limits are raised.</w:t>
      </w:r>
    </w:p>
    <w:p w14:paraId="1E64A4C5" w14:textId="77777777" w:rsidR="00AE3070" w:rsidRPr="00AE3070" w:rsidRDefault="00AE3070" w:rsidP="00AE3070">
      <w:pPr>
        <w:numPr>
          <w:ilvl w:val="0"/>
          <w:numId w:val="14"/>
        </w:numPr>
        <w:spacing w:after="160" w:line="256" w:lineRule="auto"/>
        <w:jc w:val="both"/>
        <w:rPr>
          <w:rFonts w:ascii="Aptos" w:hAnsi="Aptos"/>
          <w:color w:val="002060"/>
        </w:rPr>
      </w:pPr>
      <w:r w:rsidRPr="00AE3070">
        <w:rPr>
          <w:rFonts w:ascii="Aptos" w:hAnsi="Aptos"/>
          <w:b/>
          <w:bCs/>
          <w:color w:val="002060"/>
        </w:rPr>
        <w:lastRenderedPageBreak/>
        <w:t>Infrastructure and Energy:</w:t>
      </w:r>
      <w:r w:rsidRPr="00AE3070">
        <w:rPr>
          <w:rFonts w:ascii="Aptos" w:hAnsi="Aptos"/>
          <w:color w:val="002060"/>
        </w:rPr>
        <w:t> Capital will chase projects with government guarantees. With interest rates easing, investors will finally have the cheap capital needed to fund massive projects like LNG power plants and logistics centers, provided the legal framework (like PPP laws) is safe.</w:t>
      </w:r>
    </w:p>
    <w:p w14:paraId="1611E3D3" w14:textId="77777777" w:rsidR="00AE3070" w:rsidRPr="00AE3070" w:rsidRDefault="00AE3070" w:rsidP="00AE3070">
      <w:pPr>
        <w:jc w:val="both"/>
        <w:rPr>
          <w:rFonts w:ascii="Aptos" w:hAnsi="Aptos"/>
          <w:color w:val="002060"/>
        </w:rPr>
      </w:pPr>
      <w:r w:rsidRPr="00AE3070">
        <w:rPr>
          <w:rFonts w:ascii="Aptos" w:hAnsi="Aptos"/>
          <w:color w:val="002060"/>
        </w:rPr>
        <w:t> </w:t>
      </w:r>
    </w:p>
    <w:p w14:paraId="475DC95A" w14:textId="77777777" w:rsidR="00AE3070" w:rsidRPr="00AE3070" w:rsidRDefault="00AE3070" w:rsidP="00AE3070">
      <w:pPr>
        <w:jc w:val="both"/>
        <w:rPr>
          <w:rFonts w:ascii="Aptos" w:hAnsi="Aptos"/>
          <w:color w:val="002060"/>
        </w:rPr>
      </w:pPr>
      <w:proofErr w:type="spellStart"/>
      <w:r w:rsidRPr="00AE3070">
        <w:rPr>
          <w:rFonts w:ascii="Aptos" w:hAnsi="Aptos"/>
          <w:b/>
          <w:bCs/>
          <w:color w:val="002060"/>
        </w:rPr>
        <w:t>Q4</w:t>
      </w:r>
      <w:proofErr w:type="spellEnd"/>
      <w:r w:rsidRPr="00AE3070">
        <w:rPr>
          <w:rFonts w:ascii="Aptos" w:hAnsi="Aptos"/>
          <w:b/>
          <w:bCs/>
          <w:color w:val="002060"/>
        </w:rPr>
        <w:t>: If you had to choose three key words to define the global economy and financial markets in 2026, what would they be, and what is your reasoning behind each choice?</w:t>
      </w:r>
    </w:p>
    <w:p w14:paraId="74026845" w14:textId="77777777" w:rsidR="00AE3070" w:rsidRPr="00AE3070" w:rsidRDefault="00AE3070" w:rsidP="00AE3070">
      <w:pPr>
        <w:numPr>
          <w:ilvl w:val="0"/>
          <w:numId w:val="15"/>
        </w:numPr>
        <w:spacing w:after="160" w:line="256" w:lineRule="auto"/>
        <w:jc w:val="both"/>
        <w:rPr>
          <w:rFonts w:ascii="Aptos" w:hAnsi="Aptos"/>
          <w:color w:val="002060"/>
        </w:rPr>
      </w:pPr>
      <w:r w:rsidRPr="00AE3070">
        <w:rPr>
          <w:rFonts w:ascii="Aptos" w:hAnsi="Aptos"/>
          <w:b/>
          <w:bCs/>
          <w:color w:val="002060"/>
        </w:rPr>
        <w:t>Traceability</w:t>
      </w:r>
      <w:r w:rsidRPr="00AE3070">
        <w:rPr>
          <w:rFonts w:ascii="Aptos" w:hAnsi="Aptos"/>
          <w:color w:val="002060"/>
        </w:rPr>
        <w:t>: In a world of trade wars, "trust" is replaced by "proof." You must be able to trace every step of your supply chain. If you cannot prove where your product was made, you cannot sell it to the West.</w:t>
      </w:r>
    </w:p>
    <w:p w14:paraId="1B671275" w14:textId="77777777" w:rsidR="00AE3070" w:rsidRPr="00AE3070" w:rsidRDefault="00AE3070" w:rsidP="00AE3070">
      <w:pPr>
        <w:numPr>
          <w:ilvl w:val="0"/>
          <w:numId w:val="15"/>
        </w:numPr>
        <w:spacing w:after="160" w:line="256" w:lineRule="auto"/>
        <w:jc w:val="both"/>
        <w:rPr>
          <w:rFonts w:ascii="Aptos" w:hAnsi="Aptos"/>
          <w:color w:val="002060"/>
        </w:rPr>
      </w:pPr>
      <w:r w:rsidRPr="00AE3070">
        <w:rPr>
          <w:rFonts w:ascii="Aptos" w:hAnsi="Aptos"/>
          <w:b/>
          <w:bCs/>
          <w:color w:val="002060"/>
        </w:rPr>
        <w:t>Readiness:</w:t>
      </w:r>
      <w:r w:rsidRPr="00AE3070">
        <w:rPr>
          <w:rFonts w:ascii="Aptos" w:hAnsi="Aptos"/>
          <w:color w:val="002060"/>
        </w:rPr>
        <w:t> Opportunities in 2026 (like the Emerging Market upgrade) are huge, but they will happen fast. The "liquidity wave" will only benefit those who are ready before it hits. Investors and companies who wait until late 2026 to restructure will be too late.</w:t>
      </w:r>
    </w:p>
    <w:p w14:paraId="5C3BE1DA" w14:textId="77777777" w:rsidR="00AE3070" w:rsidRPr="00AE3070" w:rsidRDefault="00AE3070" w:rsidP="00AE3070">
      <w:pPr>
        <w:numPr>
          <w:ilvl w:val="0"/>
          <w:numId w:val="15"/>
        </w:numPr>
        <w:spacing w:after="160" w:line="256" w:lineRule="auto"/>
        <w:jc w:val="both"/>
        <w:rPr>
          <w:rFonts w:ascii="Aptos" w:hAnsi="Aptos"/>
          <w:color w:val="002060"/>
        </w:rPr>
      </w:pPr>
      <w:r w:rsidRPr="00AE3070">
        <w:rPr>
          <w:rFonts w:ascii="Aptos" w:hAnsi="Aptos"/>
          <w:b/>
          <w:bCs/>
          <w:color w:val="002060"/>
        </w:rPr>
        <w:t>Fragmentation: </w:t>
      </w:r>
      <w:r w:rsidRPr="00AE3070">
        <w:rPr>
          <w:rFonts w:ascii="Aptos" w:hAnsi="Aptos"/>
          <w:color w:val="002060"/>
        </w:rPr>
        <w:t>The global single market is no longer a thing due to the reciprocal tariffs by major economies, especially the US. We are now operating in a fragmented world of distinct regulatory blocs (US-aligned vs. Global South/BRICS+). Legal advice and business strategy can no longer be "global"; they must be tailored to the specific bloc you are operating within. </w:t>
      </w:r>
    </w:p>
    <w:p w14:paraId="00544FC0" w14:textId="77777777" w:rsidR="00AE3070" w:rsidRPr="00AE3070" w:rsidRDefault="00AE3070" w:rsidP="00AE3070">
      <w:pPr>
        <w:spacing w:after="0" w:line="288" w:lineRule="auto"/>
        <w:jc w:val="both"/>
        <w:rPr>
          <w:rFonts w:ascii="Aptos" w:hAnsi="Aptos" w:cs="Aptos"/>
          <w:color w:val="002060"/>
        </w:rPr>
      </w:pPr>
      <w:r w:rsidRPr="00AE3070">
        <w:rPr>
          <w:rFonts w:ascii="Aptos" w:hAnsi="Aptos" w:cs="Aptos"/>
          <w:color w:val="002060"/>
        </w:rPr>
        <w:t>***</w:t>
      </w:r>
    </w:p>
    <w:p w14:paraId="3D842D46" w14:textId="77777777" w:rsidR="00AE3070" w:rsidRPr="00AE3070" w:rsidRDefault="00AE3070" w:rsidP="00AE3070">
      <w:pPr>
        <w:spacing w:after="0" w:line="288" w:lineRule="auto"/>
        <w:jc w:val="both"/>
        <w:rPr>
          <w:rFonts w:ascii="Aptos" w:hAnsi="Aptos" w:cs="Aptos"/>
          <w:color w:val="002060"/>
        </w:rPr>
      </w:pPr>
      <w:r w:rsidRPr="00AE3070">
        <w:rPr>
          <w:rFonts w:ascii="Aptos" w:eastAsia="Times New Roman" w:hAnsi="Aptos" w:cs="Times New Roman"/>
          <w:color w:val="002060"/>
        </w:rPr>
        <w:t>Please do not hesitate to contact Dr. Oliver Massmann under </w:t>
      </w:r>
      <w:hyperlink r:id="rId8" w:tgtFrame="_blank" w:history="1">
        <w:r w:rsidRPr="00AE3070">
          <w:rPr>
            <w:rStyle w:val="Hyperlink"/>
            <w:rFonts w:ascii="Aptos" w:eastAsia="Times New Roman" w:hAnsi="Aptos" w:cs="Times New Roman"/>
            <w:color w:val="002060"/>
          </w:rPr>
          <w:t>omassmann@duanemorris.com</w:t>
        </w:r>
      </w:hyperlink>
      <w:r w:rsidRPr="00AE3070">
        <w:rPr>
          <w:rFonts w:ascii="Aptos" w:eastAsia="Times New Roman" w:hAnsi="Aptos" w:cs="Times New Roman"/>
          <w:color w:val="002060"/>
        </w:rPr>
        <w:t> if you have any questions or want to know more details on the above. Dr. Oliver Massmann is the General Director of Duane Morris Vietnam LLC.</w:t>
      </w:r>
    </w:p>
    <w:p w14:paraId="12C9BCF0" w14:textId="77777777" w:rsidR="00AE3070" w:rsidRPr="00AE3070" w:rsidRDefault="00AE3070" w:rsidP="00AE3070">
      <w:pPr>
        <w:jc w:val="both"/>
        <w:rPr>
          <w:rFonts w:ascii="Aptos" w:hAnsi="Aptos"/>
          <w:color w:val="002060"/>
          <w:kern w:val="2"/>
          <w14:ligatures w14:val="standardContextual"/>
        </w:rPr>
      </w:pPr>
    </w:p>
    <w:p w14:paraId="0A85ACDC" w14:textId="77777777" w:rsidR="00AE3070" w:rsidRDefault="00AE3070" w:rsidP="00AE3070">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1E5EFF22" w14:textId="77777777" w:rsidR="00344089" w:rsidRPr="00AE3070" w:rsidRDefault="00344089" w:rsidP="00344089">
      <w:pPr>
        <w:rPr>
          <w:rFonts w:ascii="Aptos" w:hAnsi="Aptos"/>
          <w:color w:val="002060"/>
        </w:rPr>
      </w:pPr>
    </w:p>
    <w:p w14:paraId="70BF1111" w14:textId="77777777" w:rsidR="00E75D94" w:rsidRPr="00E75D94" w:rsidRDefault="00E75D94" w:rsidP="00E75D94">
      <w:bookmarkStart w:id="61" w:name="_Toc215144372"/>
    </w:p>
    <w:p w14:paraId="3437BF05" w14:textId="77777777"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62" w:name="_Toc215750949"/>
      <w:bookmarkStart w:id="63" w:name="_Toc216355044"/>
      <w:bookmarkStart w:id="64" w:name="_Toc216965792"/>
      <w:bookmarkStart w:id="65" w:name="_Toc217639118"/>
      <w:bookmarkStart w:id="66" w:name="_Toc218772667"/>
      <w:bookmarkStart w:id="67" w:name="_Toc219377433"/>
      <w:bookmarkStart w:id="68" w:name="_Toc219985590"/>
      <w:bookmarkStart w:id="69" w:name="_Toc220587248"/>
      <w:r w:rsidRPr="004C6CBE">
        <w:rPr>
          <w:rFonts w:ascii="Aptos" w:eastAsia="Malgun Gothic" w:hAnsi="Aptos" w:cs="Times New Roman"/>
          <w:color w:val="002060"/>
        </w:rPr>
        <w:t>FINANCE</w:t>
      </w:r>
      <w:bookmarkStart w:id="70" w:name="_Toc28949349"/>
      <w:bookmarkStart w:id="71" w:name="_Toc29553153"/>
      <w:bookmarkStart w:id="72" w:name="_Toc31365275"/>
      <w:bookmarkStart w:id="73" w:name="_Toc31968678"/>
      <w:bookmarkStart w:id="74" w:name="_Toc33177772"/>
      <w:bookmarkStart w:id="75" w:name="_Toc33784195"/>
      <w:bookmarkStart w:id="76" w:name="_Toc34387332"/>
      <w:bookmarkStart w:id="77" w:name="_Toc34992442"/>
      <w:bookmarkStart w:id="78" w:name="_Toc36200889"/>
      <w:bookmarkStart w:id="79" w:name="_Toc36804857"/>
      <w:bookmarkStart w:id="80" w:name="_Toc37412091"/>
      <w:bookmarkStart w:id="81" w:name="_Toc38016885"/>
      <w:bookmarkStart w:id="82" w:name="_Toc38623235"/>
      <w:bookmarkStart w:id="83" w:name="_Toc47007101"/>
      <w:bookmarkStart w:id="84" w:name="_Toc47608047"/>
      <w:bookmarkStart w:id="85" w:name="_Toc48219500"/>
      <w:bookmarkStart w:id="86" w:name="_Toc48816704"/>
      <w:bookmarkStart w:id="87" w:name="_Toc49427949"/>
      <w:bookmarkStart w:id="88" w:name="_Toc50027094"/>
      <w:bookmarkStart w:id="89" w:name="_Toc50638507"/>
      <w:bookmarkStart w:id="90" w:name="_Toc51235697"/>
      <w:bookmarkStart w:id="91" w:name="_Toc51848397"/>
      <w:bookmarkStart w:id="92" w:name="_Toc52453548"/>
      <w:bookmarkStart w:id="93" w:name="_Toc53055800"/>
      <w:bookmarkStart w:id="94" w:name="_Toc53660720"/>
      <w:bookmarkStart w:id="95" w:name="_Toc54259220"/>
      <w:bookmarkStart w:id="96" w:name="_Toc54865633"/>
      <w:bookmarkStart w:id="97" w:name="_Toc55477664"/>
      <w:bookmarkStart w:id="98" w:name="_Toc56073552"/>
      <w:bookmarkStart w:id="99" w:name="_Toc56678760"/>
      <w:bookmarkStart w:id="100" w:name="_Toc57284469"/>
      <w:bookmarkStart w:id="101" w:name="_Toc57895618"/>
      <w:bookmarkStart w:id="102" w:name="_Toc58494285"/>
      <w:bookmarkStart w:id="103" w:name="_Toc59104486"/>
      <w:bookmarkStart w:id="104" w:name="_Toc60922245"/>
      <w:bookmarkStart w:id="105" w:name="_Toc61518213"/>
      <w:bookmarkStart w:id="106" w:name="_Toc62129056"/>
      <w:bookmarkStart w:id="107" w:name="_Toc62734935"/>
      <w:bookmarkStart w:id="108" w:name="_Toc63333210"/>
      <w:bookmarkStart w:id="109" w:name="_Toc65152047"/>
      <w:bookmarkStart w:id="110" w:name="_Toc65759398"/>
      <w:bookmarkStart w:id="111" w:name="_Toc66363537"/>
      <w:bookmarkStart w:id="112" w:name="_Toc66960044"/>
      <w:bookmarkStart w:id="113" w:name="_Toc67652141"/>
      <w:bookmarkStart w:id="114" w:name="_Toc68179917"/>
      <w:bookmarkStart w:id="115" w:name="_Toc68774144"/>
      <w:bookmarkStart w:id="116" w:name="_Toc69386909"/>
      <w:bookmarkStart w:id="117" w:name="_Toc69991765"/>
      <w:bookmarkStart w:id="118" w:name="_Toc70509838"/>
      <w:bookmarkStart w:id="119" w:name="_Toc71207391"/>
      <w:bookmarkStart w:id="120" w:name="_Toc71799301"/>
      <w:bookmarkStart w:id="121" w:name="_Toc72414970"/>
      <w:bookmarkStart w:id="122" w:name="_Toc73015451"/>
      <w:bookmarkStart w:id="123" w:name="_Toc73618175"/>
      <w:bookmarkStart w:id="124" w:name="_Toc74224508"/>
      <w:bookmarkStart w:id="125" w:name="_Toc74836027"/>
      <w:bookmarkStart w:id="126" w:name="_Toc75439620"/>
      <w:bookmarkStart w:id="127" w:name="_Toc76033386"/>
      <w:bookmarkStart w:id="128" w:name="_Toc76568181"/>
      <w:bookmarkStart w:id="129" w:name="_Toc77249819"/>
      <w:bookmarkStart w:id="130" w:name="_Toc77848115"/>
      <w:bookmarkStart w:id="131" w:name="_Toc78458398"/>
      <w:bookmarkStart w:id="132" w:name="_Toc79065734"/>
      <w:bookmarkStart w:id="133" w:name="_Toc79674824"/>
      <w:bookmarkStart w:id="134" w:name="_Toc80967350"/>
      <w:bookmarkStart w:id="135" w:name="_Toc82098800"/>
      <w:bookmarkStart w:id="136" w:name="_Toc82697201"/>
      <w:bookmarkStart w:id="137" w:name="_Toc83296665"/>
      <w:bookmarkStart w:id="138" w:name="_Toc83896624"/>
      <w:bookmarkStart w:id="139" w:name="_Toc84511067"/>
      <w:bookmarkStart w:id="140" w:name="_Toc85126352"/>
      <w:bookmarkStart w:id="141" w:name="_Toc85726059"/>
      <w:bookmarkStart w:id="142" w:name="_Toc86326946"/>
      <w:bookmarkStart w:id="143" w:name="_Toc86928719"/>
      <w:bookmarkStart w:id="144" w:name="_Toc87533861"/>
      <w:bookmarkStart w:id="145" w:name="_Toc88139972"/>
      <w:bookmarkStart w:id="146" w:name="_Toc88827420"/>
      <w:bookmarkStart w:id="147" w:name="_Toc89348593"/>
      <w:bookmarkStart w:id="148" w:name="_Toc89954355"/>
      <w:bookmarkStart w:id="149" w:name="_Toc90547126"/>
      <w:bookmarkStart w:id="150" w:name="_Toc91162874"/>
      <w:bookmarkStart w:id="151" w:name="_Toc92977888"/>
      <w:bookmarkStart w:id="152" w:name="_Toc93582831"/>
      <w:bookmarkStart w:id="153" w:name="_Toc94185873"/>
      <w:bookmarkStart w:id="154" w:name="_Toc124758938"/>
      <w:bookmarkStart w:id="155" w:name="_Toc126243195"/>
      <w:bookmarkStart w:id="156" w:name="_Toc126844370"/>
      <w:bookmarkStart w:id="157" w:name="_Toc127449232"/>
      <w:bookmarkStart w:id="158" w:name="_Toc128057341"/>
      <w:bookmarkStart w:id="159" w:name="_Toc128657894"/>
      <w:bookmarkStart w:id="160" w:name="_Toc129265040"/>
      <w:bookmarkStart w:id="161" w:name="_Toc129869282"/>
      <w:bookmarkStart w:id="162" w:name="_Toc130472586"/>
      <w:bookmarkStart w:id="163" w:name="_Toc131080425"/>
      <w:bookmarkStart w:id="164" w:name="_Toc131684258"/>
      <w:bookmarkStart w:id="165" w:name="_Toc132288734"/>
      <w:bookmarkStart w:id="166" w:name="_Toc132880391"/>
      <w:bookmarkStart w:id="167" w:name="_Toc133498209"/>
      <w:bookmarkStart w:id="168" w:name="_Toc134108005"/>
      <w:bookmarkStart w:id="169" w:name="_Toc134709543"/>
      <w:bookmarkStart w:id="170" w:name="_Toc134709694"/>
      <w:bookmarkStart w:id="171" w:name="_Toc135315967"/>
      <w:bookmarkStart w:id="172" w:name="_Toc135915557"/>
      <w:bookmarkStart w:id="173" w:name="_Toc136526485"/>
      <w:bookmarkStart w:id="174" w:name="_Toc137126045"/>
      <w:bookmarkStart w:id="175" w:name="_Toc137733670"/>
      <w:bookmarkStart w:id="176" w:name="_Toc138336636"/>
      <w:bookmarkStart w:id="177" w:name="_Toc138940620"/>
      <w:bookmarkStart w:id="178" w:name="_Toc139544017"/>
      <w:bookmarkStart w:id="179" w:name="_Toc140151828"/>
      <w:bookmarkStart w:id="180" w:name="_Toc140757903"/>
      <w:bookmarkStart w:id="181" w:name="_Toc141359482"/>
      <w:bookmarkStart w:id="182" w:name="_Toc141965594"/>
      <w:bookmarkStart w:id="183" w:name="_Toc142569943"/>
      <w:bookmarkStart w:id="184" w:name="_Toc143174996"/>
      <w:bookmarkStart w:id="185" w:name="_Toc143779698"/>
      <w:bookmarkStart w:id="186" w:name="_Toc144384324"/>
      <w:bookmarkStart w:id="187" w:name="_Toc144991137"/>
      <w:bookmarkStart w:id="188" w:name="_Toc145601267"/>
      <w:bookmarkStart w:id="189" w:name="_Toc146205286"/>
      <w:bookmarkStart w:id="190" w:name="_Toc146808595"/>
      <w:bookmarkStart w:id="191" w:name="_Toc147412051"/>
      <w:bookmarkStart w:id="192" w:name="_Toc148007936"/>
      <w:bookmarkStart w:id="193" w:name="_Toc148621865"/>
      <w:bookmarkStart w:id="194" w:name="_Toc149228676"/>
      <w:bookmarkStart w:id="195" w:name="_Toc149826950"/>
      <w:bookmarkStart w:id="196" w:name="_Toc150433295"/>
      <w:bookmarkStart w:id="197" w:name="_Toc151040593"/>
      <w:bookmarkStart w:id="198" w:name="_Toc151645171"/>
      <w:bookmarkStart w:id="199" w:name="_Toc152248760"/>
      <w:bookmarkStart w:id="200" w:name="_Toc153458078"/>
      <w:bookmarkStart w:id="201" w:name="_Toc154061699"/>
      <w:bookmarkStart w:id="202"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1"/>
      <w:bookmarkEnd w:id="62"/>
      <w:bookmarkEnd w:id="63"/>
      <w:bookmarkEnd w:id="64"/>
      <w:bookmarkEnd w:id="65"/>
      <w:bookmarkEnd w:id="66"/>
      <w:bookmarkEnd w:id="67"/>
      <w:bookmarkEnd w:id="68"/>
      <w:bookmarkEnd w:id="69"/>
    </w:p>
    <w:p w14:paraId="461D4406" w14:textId="77777777" w:rsidR="00410FF4" w:rsidRPr="00410FF4" w:rsidRDefault="00410FF4" w:rsidP="00410FF4"/>
    <w:p w14:paraId="1D973F11" w14:textId="77777777" w:rsidR="00A57988" w:rsidRDefault="00A57988" w:rsidP="00A57988">
      <w:pPr>
        <w:pStyle w:val="Heading1"/>
        <w:shd w:val="clear" w:color="auto" w:fill="FFFFFF"/>
        <w:spacing w:before="0" w:line="288" w:lineRule="atLeast"/>
        <w:rPr>
          <w:rFonts w:ascii="Aptos" w:eastAsia="Malgun Gothic" w:hAnsi="Aptos" w:cs="Times New Roman"/>
          <w:color w:val="002060"/>
        </w:rPr>
      </w:pPr>
    </w:p>
    <w:p w14:paraId="292E7F50" w14:textId="11F4A743" w:rsidR="00AE5D87" w:rsidRPr="00AE3070" w:rsidRDefault="00AE5D87" w:rsidP="0023034E">
      <w:pPr>
        <w:pStyle w:val="Heading2"/>
        <w:rPr>
          <w:rFonts w:ascii="Aptos" w:eastAsiaTheme="minorEastAsia" w:hAnsi="Aptos" w:cstheme="minorBidi"/>
          <w:b w:val="0"/>
          <w:bCs w:val="0"/>
          <w:color w:val="002060"/>
          <w:sz w:val="24"/>
          <w:szCs w:val="24"/>
        </w:rPr>
      </w:pPr>
      <w:bookmarkStart w:id="203" w:name="_Toc220587249"/>
      <w:r w:rsidRPr="00AE3070">
        <w:rPr>
          <w:rFonts w:ascii="Aptos" w:eastAsiaTheme="minorEastAsia" w:hAnsi="Aptos" w:cstheme="minorBidi"/>
          <w:color w:val="002060"/>
          <w:sz w:val="24"/>
          <w:szCs w:val="24"/>
        </w:rPr>
        <w:t>Fitch Ratings upgrades Vietnam’s senior secured long-term debt rating to BBB</w:t>
      </w:r>
      <w:bookmarkEnd w:id="203"/>
    </w:p>
    <w:p w14:paraId="5BD318CA" w14:textId="7C099A57" w:rsidR="00AE5D87" w:rsidRPr="00AE5D87" w:rsidRDefault="00AE5D87" w:rsidP="00AE5D87">
      <w:pPr>
        <w:spacing w:before="100" w:beforeAutospacing="1" w:after="100" w:afterAutospacing="1" w:line="288" w:lineRule="auto"/>
        <w:jc w:val="both"/>
        <w:outlineLvl w:val="0"/>
        <w:rPr>
          <w:rFonts w:ascii="Aptos" w:eastAsia="Times New Roman" w:hAnsi="Aptos" w:cs="Times New Roman"/>
          <w:i/>
          <w:iCs/>
          <w:color w:val="002060"/>
          <w:kern w:val="36"/>
          <w:sz w:val="18"/>
          <w:szCs w:val="18"/>
        </w:rPr>
      </w:pPr>
      <w:bookmarkStart w:id="204" w:name="_Toc220587250"/>
      <w:r w:rsidRPr="00AE5D87">
        <w:rPr>
          <w:rFonts w:ascii="Aptos" w:eastAsia="Times New Roman" w:hAnsi="Aptos" w:cs="Times New Roman"/>
          <w:i/>
          <w:iCs/>
          <w:color w:val="002060"/>
          <w:kern w:val="36"/>
          <w:sz w:val="18"/>
          <w:szCs w:val="18"/>
        </w:rPr>
        <w:t>VET</w:t>
      </w:r>
      <w:bookmarkEnd w:id="204"/>
    </w:p>
    <w:p w14:paraId="0A49E69B" w14:textId="77777777" w:rsidR="00AE5D87" w:rsidRPr="00AE5D87" w:rsidRDefault="00AE5D87" w:rsidP="00AE5D87">
      <w:pPr>
        <w:spacing w:after="100" w:afterAutospacing="1" w:line="288" w:lineRule="auto"/>
        <w:jc w:val="both"/>
        <w:outlineLvl w:val="1"/>
        <w:rPr>
          <w:rFonts w:ascii="Aptos" w:eastAsia="Times New Roman" w:hAnsi="Aptos" w:cs="Arial"/>
          <w:b/>
          <w:bCs/>
          <w:i/>
          <w:iCs/>
          <w:color w:val="002060"/>
        </w:rPr>
      </w:pPr>
      <w:bookmarkStart w:id="205" w:name="_Toc220587251"/>
      <w:r w:rsidRPr="00AE5D87">
        <w:rPr>
          <w:rFonts w:ascii="Aptos" w:eastAsia="Times New Roman" w:hAnsi="Aptos" w:cs="Arial"/>
          <w:b/>
          <w:bCs/>
          <w:i/>
          <w:iCs/>
          <w:color w:val="002060"/>
        </w:rPr>
        <w:t>The upgrade is seen as an important step in reinforcing the standing and credibility of Vietnam’s debt instruments in international capital markets.</w:t>
      </w:r>
      <w:bookmarkEnd w:id="205"/>
    </w:p>
    <w:p w14:paraId="0A9E0FA9"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2060"/>
        </w:rPr>
      </w:pPr>
      <w:r w:rsidRPr="00AE5D87">
        <w:rPr>
          <w:rFonts w:ascii="Aptos" w:eastAsia="Times New Roman" w:hAnsi="Aptos" w:cs="Arial"/>
          <w:color w:val="002060"/>
        </w:rPr>
        <w:t>Fitch Ratings has upgraded Vietnam’s senior secured long-term debt instruments from BB+ to BBB-</w:t>
      </w:r>
      <w:proofErr w:type="gramStart"/>
      <w:r w:rsidRPr="00AE5D87">
        <w:rPr>
          <w:rFonts w:ascii="Aptos" w:eastAsia="Times New Roman" w:hAnsi="Aptos" w:cs="Arial"/>
          <w:color w:val="002060"/>
        </w:rPr>
        <w:t>,  the</w:t>
      </w:r>
      <w:proofErr w:type="gramEnd"/>
      <w:r w:rsidRPr="00AE5D87">
        <w:rPr>
          <w:rFonts w:ascii="Aptos" w:eastAsia="Times New Roman" w:hAnsi="Aptos" w:cs="Arial"/>
          <w:color w:val="002060"/>
        </w:rPr>
        <w:t xml:space="preserve"> Vietnam News Agency quoted the Ministry of Finance as reporting.</w:t>
      </w:r>
    </w:p>
    <w:p w14:paraId="6CCB6D21"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2060"/>
        </w:rPr>
      </w:pPr>
      <w:r w:rsidRPr="00AE5D87">
        <w:rPr>
          <w:rFonts w:ascii="Aptos" w:eastAsia="Times New Roman" w:hAnsi="Aptos" w:cs="Arial"/>
          <w:color w:val="002060"/>
        </w:rPr>
        <w:t>The rating for Vietnam’s secured long-term debt was raised to BBB-, equivalent to investment grade, one notch higher than the country’s long-term foreign-currency rating on unsecured debt, which remains at BB+.</w:t>
      </w:r>
    </w:p>
    <w:p w14:paraId="532687AB"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2060"/>
        </w:rPr>
      </w:pPr>
      <w:r w:rsidRPr="00AE5D87">
        <w:rPr>
          <w:rFonts w:ascii="Aptos" w:eastAsia="Times New Roman" w:hAnsi="Aptos" w:cs="Arial"/>
          <w:color w:val="002060"/>
        </w:rPr>
        <w:lastRenderedPageBreak/>
        <w:t>The upgrade followed Fitch’s review under its revised Sovereign Rating Criteria issued in last September, according to the ministry.</w:t>
      </w:r>
    </w:p>
    <w:p w14:paraId="082F8E8E"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2060"/>
        </w:rPr>
      </w:pPr>
      <w:r w:rsidRPr="00AE5D87">
        <w:rPr>
          <w:rFonts w:ascii="Aptos" w:eastAsia="Times New Roman" w:hAnsi="Aptos" w:cs="Arial"/>
          <w:color w:val="002060"/>
        </w:rPr>
        <w:t>The decision reflects its expectations regarding recovery prospects on unsecured sovereign bonds, combined with additional recovery benefits arising from the secured or guaranteed portions of the debt instruments.</w:t>
      </w:r>
    </w:p>
    <w:p w14:paraId="237C927D"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2060"/>
        </w:rPr>
      </w:pPr>
      <w:r w:rsidRPr="00AE5D87">
        <w:rPr>
          <w:rFonts w:ascii="Aptos" w:eastAsia="Times New Roman" w:hAnsi="Aptos" w:cs="Arial"/>
          <w:color w:val="002060"/>
        </w:rPr>
        <w:t>The rating agency stressed that the move does not alter Vietnam’s sovereign credit rating, which was affirmed at BB+ with a stable outlook in June last year. Nevertheless, the upgrade is seen as an important step in reinforcing the standing and credibility of Vietnam’s debt instruments in international capital markets.</w:t>
      </w:r>
    </w:p>
    <w:p w14:paraId="7D0C8206"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2060"/>
        </w:rPr>
      </w:pPr>
      <w:r w:rsidRPr="00AE5D87">
        <w:rPr>
          <w:rFonts w:ascii="Aptos" w:eastAsia="Times New Roman" w:hAnsi="Aptos" w:cs="Arial"/>
          <w:color w:val="002060"/>
        </w:rPr>
        <w:t>According to the ministry, it is working to establish a mechanism for regular and ongoing dialogue with international credit rating agencies, including Fitch, Moody’s and S&amp;P. This engagement goes beyond the provision of requested data, involving close coordination with ministries and agencies to proactively explain and demonstrate the country’s institutional strengths, macroeconomic stability and growth potential.</w:t>
      </w:r>
    </w:p>
    <w:p w14:paraId="63E51E5B"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2060"/>
        </w:rPr>
      </w:pPr>
      <w:r w:rsidRPr="00AE5D87">
        <w:rPr>
          <w:rFonts w:ascii="Aptos" w:eastAsia="Times New Roman" w:hAnsi="Aptos" w:cs="Arial"/>
          <w:color w:val="002060"/>
        </w:rPr>
        <w:t>The recent upgrade by Fitch was also attributed to timely information sharing and close cooperation between the ministry and the rating agency.</w:t>
      </w:r>
    </w:p>
    <w:p w14:paraId="67CA84C3"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2060"/>
        </w:rPr>
      </w:pPr>
      <w:r w:rsidRPr="00AE5D87">
        <w:rPr>
          <w:rFonts w:ascii="Aptos" w:eastAsia="Times New Roman" w:hAnsi="Aptos" w:cs="Arial"/>
          <w:color w:val="002060"/>
        </w:rPr>
        <w:t xml:space="preserve">The finance body said it will continue to work closely with Fitch and other credit rating agencies, as well as international </w:t>
      </w:r>
      <w:proofErr w:type="spellStart"/>
      <w:r w:rsidRPr="00AE5D87">
        <w:rPr>
          <w:rFonts w:ascii="Aptos" w:eastAsia="Times New Roman" w:hAnsi="Aptos" w:cs="Arial"/>
          <w:color w:val="002060"/>
        </w:rPr>
        <w:t>organisations</w:t>
      </w:r>
      <w:proofErr w:type="spellEnd"/>
      <w:r w:rsidRPr="00AE5D87">
        <w:rPr>
          <w:rFonts w:ascii="Aptos" w:eastAsia="Times New Roman" w:hAnsi="Aptos" w:cs="Arial"/>
          <w:color w:val="002060"/>
        </w:rPr>
        <w:t>, to ensure comprehensive and up-to-date assessments of Vietnam’s credit profile.</w:t>
      </w:r>
    </w:p>
    <w:p w14:paraId="6493C58E" w14:textId="77777777" w:rsidR="00AE5D87" w:rsidRPr="00AE5D87" w:rsidRDefault="00AE5D87" w:rsidP="00AE5D87">
      <w:pPr>
        <w:shd w:val="clear" w:color="auto" w:fill="FFFFFF"/>
        <w:spacing w:before="100" w:beforeAutospacing="1" w:after="100" w:afterAutospacing="1" w:line="288" w:lineRule="auto"/>
        <w:jc w:val="both"/>
        <w:rPr>
          <w:rFonts w:ascii="Aptos" w:eastAsia="Times New Roman" w:hAnsi="Aptos" w:cs="Arial"/>
          <w:color w:val="000000"/>
        </w:rPr>
      </w:pPr>
    </w:p>
    <w:p w14:paraId="1A24873C" w14:textId="77777777" w:rsidR="003E0394" w:rsidRDefault="009A69E6"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1B8514E5" w14:textId="77777777" w:rsidR="00DD5D8F" w:rsidRDefault="00DD5D8F" w:rsidP="003E0394">
      <w:pPr>
        <w:spacing w:line="288" w:lineRule="auto"/>
        <w:jc w:val="right"/>
        <w:rPr>
          <w:rStyle w:val="Hyperlink"/>
          <w:rFonts w:ascii="Aptos" w:eastAsia="Malgun Gothic" w:hAnsi="Aptos" w:cs="Times New Roman"/>
          <w:color w:val="002060"/>
        </w:rPr>
      </w:pPr>
    </w:p>
    <w:p w14:paraId="484CFF8A" w14:textId="77777777" w:rsidR="0018478F" w:rsidRDefault="0018478F" w:rsidP="0023034E">
      <w:pPr>
        <w:pStyle w:val="Heading2"/>
        <w:rPr>
          <w:rStyle w:val="Hyperlink"/>
          <w:rFonts w:ascii="Aptos" w:eastAsia="Malgun Gothic" w:hAnsi="Aptos" w:cs="Times New Roman"/>
          <w:color w:val="002060"/>
        </w:rPr>
      </w:pPr>
    </w:p>
    <w:p w14:paraId="16A9F000" w14:textId="77777777" w:rsidR="0093531F" w:rsidRPr="00AE3070" w:rsidRDefault="0093531F" w:rsidP="0023034E">
      <w:pPr>
        <w:pStyle w:val="Heading2"/>
        <w:rPr>
          <w:rFonts w:ascii="Aptos" w:eastAsiaTheme="minorEastAsia" w:hAnsi="Aptos" w:cstheme="minorBidi"/>
          <w:b w:val="0"/>
          <w:bCs w:val="0"/>
          <w:color w:val="002060"/>
          <w:sz w:val="24"/>
          <w:szCs w:val="24"/>
        </w:rPr>
      </w:pPr>
      <w:bookmarkStart w:id="206" w:name="_Toc219377436"/>
      <w:bookmarkStart w:id="207" w:name="_Toc220587252"/>
      <w:r w:rsidRPr="00AE3070">
        <w:rPr>
          <w:rFonts w:ascii="Aptos" w:eastAsiaTheme="minorEastAsia" w:hAnsi="Aptos" w:cstheme="minorBidi"/>
          <w:color w:val="002060"/>
          <w:sz w:val="24"/>
          <w:szCs w:val="24"/>
        </w:rPr>
        <w:t>Vietnam becomes 46th country to legalize crypto assets</w:t>
      </w:r>
      <w:bookmarkEnd w:id="207"/>
    </w:p>
    <w:p w14:paraId="1068F337" w14:textId="6E9621D6" w:rsidR="0093531F" w:rsidRDefault="0093531F" w:rsidP="0093531F">
      <w:pPr>
        <w:spacing w:after="0" w:line="240" w:lineRule="auto"/>
        <w:rPr>
          <w:rFonts w:ascii="Aptos" w:eastAsia="Times New Roman" w:hAnsi="Aptos" w:cs="Times New Roman"/>
          <w:i/>
          <w:iCs/>
          <w:color w:val="002060"/>
          <w:sz w:val="18"/>
          <w:szCs w:val="18"/>
        </w:rPr>
      </w:pPr>
      <w:r w:rsidRPr="00DD5D8F">
        <w:rPr>
          <w:rFonts w:ascii="Aptos" w:eastAsia="Times New Roman" w:hAnsi="Aptos" w:cs="Times New Roman"/>
          <w:i/>
          <w:iCs/>
          <w:color w:val="002060"/>
          <w:sz w:val="18"/>
          <w:szCs w:val="18"/>
        </w:rPr>
        <w:t>VET</w:t>
      </w:r>
    </w:p>
    <w:p w14:paraId="5A49097A" w14:textId="77777777" w:rsidR="00DD5D8F" w:rsidRPr="00DD5D8F" w:rsidRDefault="00DD5D8F" w:rsidP="0093531F">
      <w:pPr>
        <w:spacing w:after="0" w:line="240" w:lineRule="auto"/>
        <w:rPr>
          <w:rFonts w:ascii="Aptos" w:eastAsia="Times New Roman" w:hAnsi="Aptos" w:cs="Times New Roman"/>
          <w:i/>
          <w:iCs/>
          <w:color w:val="002060"/>
          <w:sz w:val="18"/>
          <w:szCs w:val="18"/>
        </w:rPr>
      </w:pPr>
    </w:p>
    <w:p w14:paraId="707EF7D5" w14:textId="77777777" w:rsidR="0093531F" w:rsidRPr="0093531F" w:rsidRDefault="0093531F" w:rsidP="0093531F">
      <w:pPr>
        <w:spacing w:after="0" w:line="240" w:lineRule="auto"/>
        <w:rPr>
          <w:rFonts w:ascii="Aptos" w:eastAsia="Times New Roman" w:hAnsi="Aptos" w:cs="Times New Roman"/>
          <w:color w:val="002060"/>
        </w:rPr>
      </w:pPr>
    </w:p>
    <w:p w14:paraId="254735D6" w14:textId="77777777" w:rsidR="0093531F" w:rsidRPr="0093531F" w:rsidRDefault="0093531F" w:rsidP="0093531F">
      <w:pPr>
        <w:spacing w:after="100" w:afterAutospacing="1" w:line="240" w:lineRule="auto"/>
        <w:outlineLvl w:val="1"/>
        <w:rPr>
          <w:rFonts w:ascii="Aptos" w:eastAsia="Times New Roman" w:hAnsi="Aptos" w:cs="Arial"/>
          <w:b/>
          <w:bCs/>
          <w:i/>
          <w:iCs/>
          <w:color w:val="002060"/>
        </w:rPr>
      </w:pPr>
      <w:bookmarkStart w:id="208" w:name="_Toc220587253"/>
      <w:r w:rsidRPr="0093531F">
        <w:rPr>
          <w:rFonts w:ascii="Aptos" w:eastAsia="Times New Roman" w:hAnsi="Aptos" w:cs="Arial"/>
          <w:b/>
          <w:bCs/>
          <w:i/>
          <w:iCs/>
          <w:color w:val="002060"/>
        </w:rPr>
        <w:t>As of 2025, Vietnam ranks among the top seven countries globally in terms of the number of crypto asset holders.</w:t>
      </w:r>
      <w:bookmarkEnd w:id="208"/>
    </w:p>
    <w:p w14:paraId="0418C791"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With the Law on Digital Technology Industry taking </w:t>
      </w:r>
      <w:proofErr w:type="gramStart"/>
      <w:r w:rsidRPr="0093531F">
        <w:rPr>
          <w:rFonts w:ascii="Aptos" w:eastAsia="Times New Roman" w:hAnsi="Aptos" w:cs="Arial"/>
          <w:color w:val="002060"/>
        </w:rPr>
        <w:t>effect  on</w:t>
      </w:r>
      <w:proofErr w:type="gramEnd"/>
      <w:r w:rsidRPr="0093531F">
        <w:rPr>
          <w:rFonts w:ascii="Aptos" w:eastAsia="Times New Roman" w:hAnsi="Aptos" w:cs="Arial"/>
          <w:color w:val="002060"/>
        </w:rPr>
        <w:t xml:space="preserve"> January 1, Vietnam will officially become the 46th country in the world to legalize crypto assets.</w:t>
      </w:r>
    </w:p>
    <w:p w14:paraId="45ACC6CA"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According to a report by the Atlantic Council, as of May 2025, a survey of 75 countries revealed that 45 nations have enacted legal frameworks or legislation recognizing the legality of crypto assets. In contrast, 20 countries have implemented partial bans, and 10 have issued total bans.</w:t>
      </w:r>
    </w:p>
    <w:p w14:paraId="1053074E"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 xml:space="preserve">Notably, among the 45 countries that have legalized these assets, 12 are members of the </w:t>
      </w:r>
      <w:proofErr w:type="spellStart"/>
      <w:r w:rsidRPr="0093531F">
        <w:rPr>
          <w:rFonts w:ascii="Aptos" w:eastAsia="Times New Roman" w:hAnsi="Aptos" w:cs="Arial"/>
          <w:color w:val="002060"/>
        </w:rPr>
        <w:t>G20</w:t>
      </w:r>
      <w:proofErr w:type="spellEnd"/>
      <w:r w:rsidRPr="0093531F">
        <w:rPr>
          <w:rFonts w:ascii="Aptos" w:eastAsia="Times New Roman" w:hAnsi="Aptos" w:cs="Arial"/>
          <w:color w:val="002060"/>
        </w:rPr>
        <w:t>, representing approximately 57% of global GDP. This trend underscores the significant interest developed economies have in fostering the crypto asset sector.</w:t>
      </w:r>
    </w:p>
    <w:p w14:paraId="5C4BFF98"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Speaking at the dialogue "Legal Path and Development Models for Vietnam's Digital Asset Market" organized by the Vietnam Economic Times/</w:t>
      </w:r>
      <w:proofErr w:type="spellStart"/>
      <w:r w:rsidRPr="0093531F">
        <w:rPr>
          <w:rFonts w:ascii="Aptos" w:eastAsia="Times New Roman" w:hAnsi="Aptos" w:cs="Arial"/>
          <w:color w:val="002060"/>
        </w:rPr>
        <w:t>VnEconomy</w:t>
      </w:r>
      <w:proofErr w:type="spellEnd"/>
      <w:r w:rsidRPr="0093531F">
        <w:rPr>
          <w:rFonts w:ascii="Aptos" w:eastAsia="Times New Roman" w:hAnsi="Aptos" w:cs="Arial"/>
          <w:color w:val="002060"/>
        </w:rPr>
        <w:t xml:space="preserve"> on January 26, Vice President and General Secretary of the Vietnam </w:t>
      </w:r>
      <w:r w:rsidRPr="0093531F">
        <w:rPr>
          <w:rFonts w:ascii="Aptos" w:eastAsia="Times New Roman" w:hAnsi="Aptos" w:cs="Arial"/>
          <w:color w:val="002060"/>
        </w:rPr>
        <w:lastRenderedPageBreak/>
        <w:t>Blockchain and Digital Assets Association (VBA), Nguyen Van Hien, confirmed that Vietnam will join this group as the 46th nation once the Law on Digital Technology Industry takes effect on January 1, 2026.</w:t>
      </w:r>
    </w:p>
    <w:p w14:paraId="6A995643"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However, reality shows that Vietnam’s crypto asset market has developed at a much faster pace than the completion of its legal framework.</w:t>
      </w:r>
    </w:p>
    <w:p w14:paraId="178F45B3"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Data published by international organizations indicates that approximately 17 million Vietnamese people currently own crypto assets, with that number peaking at 21 million at certain points. As of 2025, Vietnam ranks among the top seven countries globally in terms of the number of crypto asset holders.</w:t>
      </w:r>
    </w:p>
    <w:p w14:paraId="6E719314"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Vietnam also ranks in the top three in the Asia-Pacific region, particularly regarding capital inflows from the blockchain and crypto asset markets. In 2025 alone, the total value of this capital flow reached about $220 billion, doubling the average of the previous three years, which were $105 billion, $120 billion, and $110 billion, respectively.</w:t>
      </w:r>
    </w:p>
    <w:p w14:paraId="1624692B"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Furthermore, Vietnam holds the top global position in a specific metric related to crypto capital: the percentage of young freelancers owning crypto assets. This figure currently stands at over 85%, ranking first among 85 surveyed countries.</w:t>
      </w:r>
    </w:p>
    <w:p w14:paraId="0DE356B0" w14:textId="77777777" w:rsidR="0093531F" w:rsidRPr="0093531F" w:rsidRDefault="0093531F" w:rsidP="0093531F">
      <w:pPr>
        <w:shd w:val="clear" w:color="auto" w:fill="FFFFFF"/>
        <w:spacing w:before="100" w:beforeAutospacing="1" w:after="100" w:afterAutospacing="1" w:line="240" w:lineRule="auto"/>
        <w:jc w:val="both"/>
        <w:rPr>
          <w:rFonts w:ascii="Aptos" w:eastAsia="Times New Roman" w:hAnsi="Aptos" w:cs="Arial"/>
          <w:color w:val="002060"/>
        </w:rPr>
      </w:pPr>
      <w:r w:rsidRPr="0093531F">
        <w:rPr>
          <w:rFonts w:ascii="Aptos" w:eastAsia="Times New Roman" w:hAnsi="Aptos" w:cs="Arial"/>
          <w:color w:val="002060"/>
        </w:rPr>
        <w:t>While Vietnam currently lacks an official dataset published by domestic organizations, Ms. Hien expressed optimism for the future: “Once pilot models and trading floors are deployed in Vietnam, we will, for the first time, have a comprehensive and official data system regarding the number of Vietnamese people holding and owning crypto assets.”</w:t>
      </w:r>
    </w:p>
    <w:p w14:paraId="4D1D2201" w14:textId="77777777" w:rsidR="00E75D94" w:rsidRPr="0093531F" w:rsidRDefault="00E75D94" w:rsidP="00001694">
      <w:pPr>
        <w:pStyle w:val="Heading2"/>
        <w:spacing w:line="288" w:lineRule="auto"/>
        <w:jc w:val="both"/>
        <w:rPr>
          <w:rFonts w:ascii="Aptos" w:eastAsia="Malgun Gothic" w:hAnsi="Aptos" w:cs="Times New Roman"/>
          <w:color w:val="002060"/>
          <w:sz w:val="22"/>
          <w:szCs w:val="22"/>
        </w:rPr>
      </w:pPr>
    </w:p>
    <w:bookmarkEnd w:id="206"/>
    <w:p w14:paraId="2E0E1B8D" w14:textId="77777777" w:rsidR="00A57988" w:rsidRPr="004C6CBE" w:rsidRDefault="001D7544" w:rsidP="00A57988">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09" w:name="_Toc186722691"/>
      <w:bookmarkStart w:id="210" w:name="_Toc187326017"/>
      <w:bookmarkStart w:id="211" w:name="_Toc187919317"/>
      <w:bookmarkStart w:id="212" w:name="_Toc188519309"/>
      <w:bookmarkStart w:id="213" w:name="_Toc189746399"/>
      <w:bookmarkStart w:id="214" w:name="_Toc190348424"/>
      <w:bookmarkStart w:id="215" w:name="_Toc190954008"/>
      <w:bookmarkStart w:id="216" w:name="_Toc191559693"/>
      <w:bookmarkStart w:id="217" w:name="_Toc192153145"/>
      <w:bookmarkStart w:id="218" w:name="_Toc192767030"/>
      <w:bookmarkStart w:id="219" w:name="_Toc193361537"/>
      <w:bookmarkStart w:id="220" w:name="_Toc193977729"/>
      <w:bookmarkStart w:id="221" w:name="_Toc194671393"/>
      <w:bookmarkStart w:id="222" w:name="_Toc195192224"/>
      <w:bookmarkStart w:id="223" w:name="_Toc195795569"/>
      <w:bookmarkStart w:id="224" w:name="_Toc196395797"/>
      <w:bookmarkStart w:id="225" w:name="_Toc197596758"/>
      <w:bookmarkStart w:id="226" w:name="_Toc198210641"/>
      <w:bookmarkStart w:id="227" w:name="_Toc198816026"/>
      <w:bookmarkStart w:id="228" w:name="_Toc199419424"/>
      <w:bookmarkStart w:id="229" w:name="_Toc200013593"/>
      <w:bookmarkStart w:id="230" w:name="_Toc200628572"/>
      <w:bookmarkStart w:id="231" w:name="_Toc201837355"/>
      <w:bookmarkStart w:id="232" w:name="_Toc202445690"/>
      <w:bookmarkStart w:id="233" w:name="_Toc203047555"/>
      <w:bookmarkStart w:id="234" w:name="_Toc203655860"/>
      <w:bookmarkStart w:id="235" w:name="_Toc204262797"/>
      <w:bookmarkStart w:id="236" w:name="_Toc204862956"/>
      <w:bookmarkStart w:id="237" w:name="_Toc205466583"/>
      <w:bookmarkStart w:id="238" w:name="_Toc206074502"/>
      <w:bookmarkStart w:id="239" w:name="_Toc207184395"/>
      <w:bookmarkStart w:id="240" w:name="_Toc207888598"/>
      <w:bookmarkStart w:id="241" w:name="_Toc208493622"/>
      <w:bookmarkStart w:id="242" w:name="_Toc208493700"/>
      <w:bookmarkStart w:id="243" w:name="_Toc209099445"/>
      <w:bookmarkStart w:id="244" w:name="_Toc209702674"/>
      <w:bookmarkStart w:id="245" w:name="_Toc210305238"/>
      <w:bookmarkStart w:id="246" w:name="_Toc210911914"/>
      <w:bookmarkStart w:id="247" w:name="_Toc210912006"/>
      <w:bookmarkStart w:id="248" w:name="_Toc211518239"/>
      <w:bookmarkStart w:id="249" w:name="_Toc212118919"/>
      <w:bookmarkStart w:id="250" w:name="_Toc212726912"/>
      <w:bookmarkStart w:id="251" w:name="_Toc213334249"/>
      <w:bookmarkStart w:id="252" w:name="_Toc213924599"/>
    </w:p>
    <w:p w14:paraId="47BD438C" w14:textId="77777777" w:rsidR="00A852BE" w:rsidRDefault="00A852BE" w:rsidP="00A852BE">
      <w:pPr>
        <w:pStyle w:val="Heading1"/>
        <w:shd w:val="clear" w:color="auto" w:fill="FFFFFF"/>
        <w:spacing w:before="0" w:line="288" w:lineRule="atLeast"/>
        <w:rPr>
          <w:rFonts w:ascii="Aptos" w:eastAsia="Malgun Gothic" w:hAnsi="Aptos" w:cs="Times New Roman"/>
          <w:color w:val="002060"/>
        </w:rPr>
      </w:pPr>
      <w:bookmarkStart w:id="253" w:name="_Toc214539941"/>
      <w:bookmarkStart w:id="254" w:name="_Toc215144377"/>
      <w:bookmarkStart w:id="255" w:name="_Toc215750954"/>
      <w:bookmarkStart w:id="256" w:name="_Toc216355050"/>
      <w:bookmarkStart w:id="257" w:name="_Toc216965797"/>
      <w:bookmarkStart w:id="258" w:name="_Toc217639123"/>
      <w:bookmarkStart w:id="259" w:name="_Toc218772672"/>
      <w:bookmarkStart w:id="260" w:name="_Toc219377437"/>
    </w:p>
    <w:p w14:paraId="30C5636E" w14:textId="7FC1C55B" w:rsidR="009E60D8" w:rsidRDefault="00FE778B" w:rsidP="00A852BE">
      <w:pPr>
        <w:pStyle w:val="Heading1"/>
        <w:shd w:val="clear" w:color="auto" w:fill="FFFFFF"/>
        <w:spacing w:before="0" w:line="288" w:lineRule="atLeast"/>
        <w:rPr>
          <w:rFonts w:ascii="Aptos" w:eastAsia="Malgun Gothic" w:hAnsi="Aptos" w:cs="Times New Roman"/>
          <w:color w:val="002060"/>
        </w:rPr>
      </w:pPr>
      <w:bookmarkStart w:id="261" w:name="_Toc219985595"/>
      <w:bookmarkStart w:id="262" w:name="_Toc220587254"/>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63" w:name="_Toc372277036"/>
      <w:bookmarkStart w:id="264" w:name="_Toc372881662"/>
      <w:bookmarkStart w:id="265" w:name="_Toc373484630"/>
      <w:bookmarkStart w:id="266" w:name="_Toc374089641"/>
      <w:bookmarkStart w:id="267" w:name="_Toc374695753"/>
      <w:bookmarkStart w:id="268" w:name="_Toc375297865"/>
      <w:bookmarkStart w:id="269" w:name="_Toc375903285"/>
      <w:bookmarkStart w:id="270" w:name="_Toc376510600"/>
      <w:bookmarkStart w:id="271" w:name="_Toc377114107"/>
      <w:bookmarkStart w:id="272" w:name="_Toc377720877"/>
      <w:bookmarkStart w:id="273" w:name="_Toc378323090"/>
      <w:bookmarkStart w:id="274" w:name="_Toc379533627"/>
      <w:bookmarkStart w:id="275" w:name="_Toc380136921"/>
      <w:bookmarkStart w:id="276" w:name="_Toc380744470"/>
      <w:bookmarkStart w:id="277" w:name="_Toc381349390"/>
      <w:bookmarkStart w:id="278" w:name="_Toc381952740"/>
      <w:bookmarkStart w:id="279" w:name="_Toc382557146"/>
      <w:bookmarkStart w:id="280" w:name="_Toc383161642"/>
      <w:bookmarkStart w:id="281" w:name="_Toc383767069"/>
      <w:bookmarkStart w:id="282" w:name="_Toc384372106"/>
      <w:bookmarkStart w:id="283" w:name="_Toc384976538"/>
      <w:bookmarkStart w:id="284" w:name="_Toc385581149"/>
      <w:bookmarkStart w:id="285" w:name="_Toc386187311"/>
      <w:bookmarkStart w:id="286" w:name="_Toc387396227"/>
      <w:bookmarkStart w:id="287" w:name="_Toc388000659"/>
      <w:bookmarkStart w:id="288" w:name="_Toc388604987"/>
      <w:bookmarkStart w:id="289" w:name="_Toc389209518"/>
      <w:bookmarkStart w:id="290" w:name="_Toc389815749"/>
      <w:bookmarkStart w:id="291" w:name="_Toc390418758"/>
      <w:bookmarkStart w:id="292" w:name="_Toc391026118"/>
      <w:bookmarkStart w:id="293" w:name="_Toc392233738"/>
      <w:bookmarkStart w:id="294" w:name="_Toc392837336"/>
      <w:bookmarkStart w:id="295" w:name="_Toc394048499"/>
      <w:bookmarkStart w:id="296" w:name="_Toc394651767"/>
      <w:bookmarkStart w:id="297" w:name="_Toc395258652"/>
      <w:bookmarkStart w:id="298" w:name="_Toc395862292"/>
      <w:bookmarkStart w:id="299" w:name="_Toc396467104"/>
      <w:bookmarkStart w:id="300" w:name="_Toc397074774"/>
      <w:bookmarkStart w:id="301" w:name="_Toc397679397"/>
      <w:bookmarkStart w:id="302" w:name="_Toc398281793"/>
      <w:bookmarkStart w:id="303" w:name="_Toc398887280"/>
      <w:bookmarkStart w:id="304" w:name="_Toc399492492"/>
      <w:bookmarkStart w:id="305" w:name="_Toc400096557"/>
      <w:bookmarkStart w:id="306" w:name="_Toc400699355"/>
      <w:bookmarkStart w:id="307" w:name="_Toc401908571"/>
      <w:bookmarkStart w:id="308" w:name="_Toc402514113"/>
      <w:bookmarkStart w:id="309" w:name="_Toc403119468"/>
      <w:bookmarkStart w:id="310" w:name="_Toc403725573"/>
      <w:bookmarkStart w:id="311" w:name="_Toc404332237"/>
      <w:bookmarkStart w:id="312" w:name="_Toc404935397"/>
      <w:bookmarkStart w:id="313" w:name="_Toc405540230"/>
      <w:bookmarkStart w:id="314" w:name="_Toc406144907"/>
      <w:bookmarkStart w:id="315" w:name="_Toc406680256"/>
      <w:bookmarkStart w:id="316" w:name="_Toc407350896"/>
      <w:bookmarkStart w:id="317" w:name="_Toc408564576"/>
      <w:bookmarkStart w:id="318" w:name="_Toc409169007"/>
      <w:bookmarkStart w:id="319" w:name="_Toc409774757"/>
      <w:bookmarkStart w:id="320" w:name="_Toc410380506"/>
      <w:bookmarkStart w:id="321" w:name="_Toc410982170"/>
      <w:bookmarkStart w:id="322" w:name="_Toc411587715"/>
      <w:bookmarkStart w:id="323" w:name="_Toc412798936"/>
      <w:bookmarkStart w:id="324" w:name="_Toc413401078"/>
      <w:bookmarkStart w:id="325" w:name="_Toc414005850"/>
      <w:bookmarkStart w:id="326" w:name="_Toc415215509"/>
      <w:bookmarkStart w:id="327" w:name="_Toc415827057"/>
      <w:bookmarkStart w:id="328" w:name="_Toc416423737"/>
      <w:bookmarkStart w:id="329" w:name="_Toc417031184"/>
      <w:bookmarkStart w:id="330" w:name="_Toc417634610"/>
      <w:bookmarkStart w:id="331" w:name="_Toc418844126"/>
      <w:bookmarkStart w:id="332" w:name="_Toc419450432"/>
      <w:bookmarkStart w:id="333" w:name="_Toc420056735"/>
      <w:bookmarkStart w:id="334" w:name="_Toc420661557"/>
      <w:bookmarkStart w:id="335" w:name="_Toc421264723"/>
      <w:bookmarkStart w:id="336" w:name="_Toc421871471"/>
      <w:bookmarkStart w:id="337" w:name="_Toc422473458"/>
      <w:bookmarkStart w:id="338" w:name="_Toc423078376"/>
      <w:bookmarkStart w:id="339" w:name="_Toc423682216"/>
      <w:bookmarkStart w:id="340" w:name="_Toc424301013"/>
      <w:bookmarkStart w:id="341" w:name="_Toc424891971"/>
      <w:bookmarkStart w:id="342" w:name="_Toc425495589"/>
      <w:bookmarkStart w:id="343" w:name="_Toc426104624"/>
      <w:bookmarkStart w:id="344" w:name="_Toc426707573"/>
      <w:bookmarkStart w:id="345" w:name="_Toc427312143"/>
      <w:bookmarkStart w:id="346" w:name="_Toc427915952"/>
      <w:bookmarkStart w:id="347" w:name="_Toc428523125"/>
      <w:bookmarkStart w:id="348" w:name="_Toc429732374"/>
      <w:bookmarkStart w:id="349" w:name="_Toc430335764"/>
      <w:bookmarkStart w:id="350" w:name="_Toc430941475"/>
      <w:bookmarkStart w:id="351" w:name="_Toc431546386"/>
      <w:bookmarkStart w:id="352" w:name="_Toc432151519"/>
      <w:bookmarkStart w:id="353" w:name="_Toc432755903"/>
      <w:bookmarkStart w:id="354" w:name="_Toc433361375"/>
      <w:bookmarkStart w:id="355" w:name="_Toc433965274"/>
      <w:bookmarkStart w:id="356" w:name="_Toc434571313"/>
      <w:bookmarkStart w:id="357" w:name="_Toc435172620"/>
      <w:bookmarkStart w:id="358" w:name="_Toc435779446"/>
      <w:bookmarkStart w:id="359" w:name="_Toc436380886"/>
      <w:bookmarkStart w:id="360" w:name="_Toc436991375"/>
      <w:bookmarkStart w:id="361" w:name="_Toc437595397"/>
      <w:bookmarkStart w:id="362" w:name="_Toc440013651"/>
      <w:bookmarkStart w:id="363" w:name="_Toc440621863"/>
      <w:bookmarkStart w:id="364" w:name="_Toc441223773"/>
      <w:bookmarkStart w:id="365" w:name="_Toc441828297"/>
      <w:bookmarkStart w:id="366" w:name="_Toc441828392"/>
      <w:bookmarkStart w:id="367" w:name="_Toc442344474"/>
      <w:bookmarkStart w:id="368" w:name="_Toc443643405"/>
      <w:bookmarkStart w:id="369" w:name="_Toc444246117"/>
      <w:bookmarkStart w:id="370" w:name="_Toc444852040"/>
      <w:bookmarkStart w:id="371" w:name="_Toc445456100"/>
      <w:bookmarkStart w:id="372" w:name="_Toc445973466"/>
      <w:bookmarkStart w:id="373" w:name="_Toc446664819"/>
      <w:bookmarkStart w:id="374" w:name="_Toc447269370"/>
      <w:bookmarkStart w:id="375" w:name="_Toc447874146"/>
      <w:bookmarkStart w:id="376" w:name="_Toc448482075"/>
      <w:bookmarkStart w:id="377" w:name="_Toc449082184"/>
      <w:bookmarkStart w:id="378" w:name="_Toc449689087"/>
      <w:bookmarkStart w:id="379" w:name="_Toc450293025"/>
      <w:bookmarkStart w:id="380" w:name="_Toc450896937"/>
      <w:bookmarkStart w:id="381" w:name="_Toc452625636"/>
      <w:bookmarkStart w:id="382" w:name="_Toc453317631"/>
      <w:bookmarkStart w:id="383" w:name="_Toc453921135"/>
      <w:bookmarkStart w:id="384" w:name="_Toc454525839"/>
      <w:bookmarkStart w:id="385" w:name="_Toc455664215"/>
      <w:bookmarkStart w:id="386" w:name="_Toc456342930"/>
      <w:bookmarkStart w:id="387" w:name="_Toc456948587"/>
      <w:bookmarkStart w:id="388" w:name="_Toc457551647"/>
      <w:bookmarkStart w:id="389" w:name="_Toc458760434"/>
      <w:bookmarkStart w:id="390" w:name="_Toc459970957"/>
      <w:bookmarkStart w:id="391" w:name="_Toc460493834"/>
      <w:bookmarkStart w:id="392" w:name="_Toc461091254"/>
      <w:bookmarkStart w:id="393" w:name="_Toc461785959"/>
      <w:bookmarkStart w:id="394" w:name="_Toc462393212"/>
      <w:bookmarkStart w:id="395" w:name="_Toc462996387"/>
      <w:bookmarkStart w:id="396" w:name="_Toc463600469"/>
      <w:bookmarkStart w:id="397" w:name="_Toc464205355"/>
      <w:bookmarkStart w:id="398" w:name="_Toc464808167"/>
      <w:bookmarkStart w:id="399" w:name="_Toc465341587"/>
      <w:bookmarkStart w:id="400" w:name="_Toc466017253"/>
      <w:bookmarkStart w:id="401" w:name="_Toc466625781"/>
      <w:bookmarkStart w:id="402" w:name="_Toc467231583"/>
      <w:bookmarkStart w:id="403" w:name="_Toc467832923"/>
      <w:bookmarkStart w:id="404" w:name="_Toc468440608"/>
      <w:bookmarkStart w:id="405" w:name="_Toc469043511"/>
      <w:bookmarkStart w:id="406" w:name="_Toc469650540"/>
      <w:bookmarkStart w:id="407" w:name="_Toc472071552"/>
      <w:bookmarkStart w:id="408" w:name="_Toc472672618"/>
      <w:bookmarkStart w:id="409" w:name="_Toc473881014"/>
      <w:bookmarkStart w:id="410" w:name="_Toc474487611"/>
      <w:bookmarkStart w:id="411" w:name="_Toc475090266"/>
      <w:bookmarkStart w:id="412" w:name="_Toc475697891"/>
      <w:bookmarkStart w:id="413" w:name="_Toc476302017"/>
      <w:bookmarkStart w:id="414" w:name="_Toc476906658"/>
      <w:bookmarkStart w:id="415" w:name="_Toc477510747"/>
      <w:bookmarkStart w:id="416" w:name="_Toc478116119"/>
      <w:bookmarkStart w:id="417" w:name="_Toc478723293"/>
      <w:bookmarkStart w:id="418" w:name="_Toc479329710"/>
      <w:bookmarkStart w:id="419" w:name="_Toc479930325"/>
      <w:bookmarkStart w:id="420" w:name="_Toc480539769"/>
      <w:bookmarkStart w:id="421" w:name="_Toc481139996"/>
      <w:bookmarkStart w:id="422" w:name="_Toc482351755"/>
      <w:bookmarkStart w:id="423" w:name="_Toc482956632"/>
      <w:bookmarkStart w:id="424" w:name="_Toc484166265"/>
      <w:bookmarkStart w:id="425" w:name="_Toc484769034"/>
      <w:bookmarkStart w:id="426" w:name="_Toc485286963"/>
      <w:bookmarkStart w:id="427" w:name="_Toc485978047"/>
      <w:bookmarkStart w:id="428" w:name="_Toc486585200"/>
      <w:bookmarkStart w:id="429" w:name="_Toc487190849"/>
      <w:bookmarkStart w:id="430" w:name="_Toc487793128"/>
      <w:bookmarkStart w:id="431" w:name="_Toc488396105"/>
      <w:bookmarkStart w:id="432" w:name="_Toc489005356"/>
      <w:bookmarkStart w:id="433" w:name="_Toc489606922"/>
      <w:bookmarkStart w:id="434" w:name="_Toc490213904"/>
      <w:bookmarkStart w:id="435" w:name="_Toc490819129"/>
      <w:bookmarkStart w:id="436" w:name="_Toc491423492"/>
      <w:bookmarkStart w:id="437" w:name="_Toc492024941"/>
      <w:bookmarkStart w:id="438" w:name="_Toc492631836"/>
      <w:bookmarkStart w:id="439" w:name="_Toc493236264"/>
      <w:bookmarkStart w:id="440" w:name="_Toc493837670"/>
      <w:bookmarkStart w:id="441" w:name="_Toc495050076"/>
      <w:bookmarkStart w:id="442" w:name="_Toc495652582"/>
      <w:bookmarkStart w:id="443" w:name="_Toc496261433"/>
      <w:bookmarkStart w:id="444" w:name="_Toc496867228"/>
      <w:bookmarkStart w:id="445" w:name="_Toc497465791"/>
      <w:bookmarkStart w:id="446" w:name="_Toc498081893"/>
      <w:bookmarkStart w:id="447" w:name="_Toc498682150"/>
      <w:bookmarkStart w:id="448" w:name="_Toc499287549"/>
      <w:bookmarkStart w:id="449" w:name="_Toc499891990"/>
      <w:bookmarkStart w:id="450" w:name="_Toc500496789"/>
      <w:bookmarkStart w:id="451" w:name="_Toc501099734"/>
      <w:bookmarkStart w:id="452" w:name="_Toc501705017"/>
      <w:bookmarkStart w:id="453" w:name="_Toc532560719"/>
      <w:bookmarkStart w:id="454" w:name="_Toc533156844"/>
      <w:bookmarkStart w:id="455" w:name="_Toc533775399"/>
      <w:bookmarkStart w:id="456" w:name="_Toc534372207"/>
      <w:bookmarkStart w:id="457" w:name="_Toc534972008"/>
      <w:bookmarkStart w:id="458" w:name="_Toc535582780"/>
      <w:bookmarkStart w:id="459" w:name="_Toc536187102"/>
      <w:bookmarkStart w:id="460" w:name="_Toc536785388"/>
      <w:bookmarkStart w:id="461" w:name="_Toc1130208"/>
      <w:bookmarkStart w:id="462" w:name="_Toc1727979"/>
      <w:bookmarkStart w:id="463" w:name="_Toc2333094"/>
      <w:bookmarkStart w:id="464" w:name="_Toc2937884"/>
      <w:bookmarkStart w:id="465" w:name="_Toc3543094"/>
      <w:bookmarkStart w:id="466" w:name="_Toc4146388"/>
      <w:bookmarkStart w:id="467" w:name="_Toc4758756"/>
      <w:bookmarkStart w:id="468" w:name="_Toc5357724"/>
      <w:bookmarkStart w:id="469" w:name="_Toc5961962"/>
      <w:bookmarkStart w:id="470" w:name="_Toc6565236"/>
      <w:bookmarkStart w:id="471" w:name="_Toc7172941"/>
      <w:bookmarkStart w:id="472" w:name="_Toc7776782"/>
      <w:bookmarkStart w:id="473" w:name="_Toc8385532"/>
      <w:bookmarkStart w:id="474" w:name="_Toc8986688"/>
      <w:bookmarkStart w:id="475" w:name="_Toc9591439"/>
      <w:bookmarkStart w:id="476" w:name="_Toc10800776"/>
      <w:bookmarkStart w:id="477" w:name="_Toc11403497"/>
      <w:bookmarkStart w:id="478" w:name="_Toc12010882"/>
      <w:bookmarkStart w:id="479" w:name="_Toc12614882"/>
      <w:bookmarkStart w:id="480" w:name="_Toc13219381"/>
      <w:bookmarkStart w:id="481" w:name="_Toc13830731"/>
      <w:bookmarkStart w:id="482" w:name="_Toc14429410"/>
      <w:bookmarkStart w:id="483" w:name="_Toc15034919"/>
      <w:bookmarkStart w:id="484" w:name="_Toc15638234"/>
      <w:bookmarkStart w:id="485" w:name="_Toc16243813"/>
      <w:bookmarkStart w:id="486" w:name="_Toc17453989"/>
      <w:bookmarkStart w:id="487" w:name="_Toc18058957"/>
      <w:bookmarkStart w:id="488" w:name="_Toc18664185"/>
      <w:bookmarkStart w:id="489" w:name="_Toc19268589"/>
      <w:bookmarkStart w:id="490" w:name="_Toc19868194"/>
      <w:bookmarkStart w:id="491" w:name="_Toc20476476"/>
      <w:bookmarkStart w:id="492" w:name="_Toc21082712"/>
      <w:bookmarkStart w:id="493" w:name="_Toc21596842"/>
      <w:bookmarkStart w:id="494" w:name="_Toc22292243"/>
      <w:bookmarkStart w:id="495" w:name="_Toc22902068"/>
      <w:bookmarkStart w:id="496" w:name="_Toc23500781"/>
      <w:bookmarkStart w:id="497" w:name="_Toc24106263"/>
      <w:bookmarkStart w:id="498" w:name="_Toc24708409"/>
      <w:bookmarkStart w:id="499" w:name="_Toc25235410"/>
      <w:bookmarkStart w:id="500" w:name="_Toc25920237"/>
      <w:bookmarkStart w:id="501" w:name="_Toc26524512"/>
      <w:bookmarkStart w:id="502" w:name="_Toc27130353"/>
      <w:bookmarkStart w:id="503" w:name="_Toc28949352"/>
      <w:bookmarkStart w:id="504" w:name="_Toc29553156"/>
      <w:bookmarkStart w:id="505" w:name="_Toc31365279"/>
      <w:bookmarkStart w:id="506" w:name="_Toc31968685"/>
      <w:bookmarkStart w:id="507" w:name="_Toc33177775"/>
      <w:bookmarkStart w:id="508" w:name="_Toc33784200"/>
      <w:bookmarkStart w:id="509" w:name="_Toc34387335"/>
      <w:bookmarkStart w:id="510" w:name="_Toc34992445"/>
      <w:bookmarkStart w:id="511" w:name="_Toc36200892"/>
      <w:bookmarkStart w:id="512" w:name="_Toc36804861"/>
      <w:bookmarkStart w:id="513" w:name="_Toc37412094"/>
      <w:bookmarkStart w:id="514" w:name="_Toc38016888"/>
      <w:bookmarkStart w:id="515" w:name="_Toc38623239"/>
      <w:bookmarkStart w:id="516" w:name="_Toc47007107"/>
      <w:bookmarkStart w:id="517" w:name="_Toc47608050"/>
      <w:bookmarkStart w:id="518" w:name="_Toc48219506"/>
      <w:bookmarkStart w:id="519" w:name="_Toc48816707"/>
      <w:bookmarkStart w:id="520" w:name="_Toc49427952"/>
      <w:bookmarkStart w:id="521" w:name="_Toc50027099"/>
      <w:bookmarkStart w:id="522" w:name="_Toc50638510"/>
      <w:bookmarkStart w:id="523" w:name="_Toc51235700"/>
      <w:bookmarkStart w:id="524" w:name="_Toc51848402"/>
      <w:bookmarkStart w:id="525" w:name="_Toc52453551"/>
      <w:bookmarkStart w:id="526" w:name="_Toc53055803"/>
      <w:bookmarkStart w:id="527" w:name="_Toc53660724"/>
      <w:bookmarkStart w:id="528" w:name="_Toc54259223"/>
      <w:bookmarkStart w:id="529" w:name="_Toc54865636"/>
      <w:bookmarkStart w:id="530" w:name="_Toc55477667"/>
      <w:bookmarkStart w:id="531" w:name="_Toc56073555"/>
      <w:bookmarkStart w:id="532" w:name="_Toc56678763"/>
      <w:bookmarkStart w:id="533" w:name="_Toc57284472"/>
      <w:bookmarkStart w:id="534" w:name="_Toc57895622"/>
      <w:bookmarkStart w:id="535" w:name="_Toc58494288"/>
      <w:bookmarkStart w:id="536" w:name="_Toc59104490"/>
      <w:bookmarkStart w:id="537" w:name="_Toc60922248"/>
      <w:bookmarkStart w:id="538" w:name="_Toc61518216"/>
      <w:bookmarkStart w:id="539" w:name="_Toc62129059"/>
      <w:bookmarkStart w:id="540" w:name="_Toc62734938"/>
      <w:bookmarkStart w:id="541" w:name="_Toc63333213"/>
      <w:bookmarkStart w:id="542" w:name="_Toc65152050"/>
      <w:bookmarkStart w:id="543" w:name="_Toc65759402"/>
      <w:bookmarkStart w:id="544" w:name="_Toc66363540"/>
      <w:bookmarkStart w:id="545" w:name="_Toc66960047"/>
      <w:bookmarkStart w:id="546" w:name="_Toc67652144"/>
      <w:bookmarkStart w:id="547" w:name="_Toc68179920"/>
      <w:bookmarkStart w:id="548" w:name="_Toc68774147"/>
      <w:bookmarkStart w:id="549" w:name="_Toc69386915"/>
      <w:bookmarkStart w:id="550" w:name="_Toc69991769"/>
      <w:bookmarkStart w:id="551" w:name="_Toc70509841"/>
      <w:bookmarkStart w:id="552" w:name="_Toc71207395"/>
      <w:bookmarkStart w:id="553" w:name="_Toc71799306"/>
      <w:bookmarkStart w:id="554" w:name="_Toc72414975"/>
      <w:bookmarkStart w:id="555" w:name="_Toc73015454"/>
      <w:bookmarkStart w:id="556" w:name="_Toc73618178"/>
      <w:bookmarkStart w:id="557" w:name="_Toc74224512"/>
      <w:bookmarkStart w:id="558" w:name="_Toc74836030"/>
      <w:bookmarkStart w:id="559" w:name="_Toc75439623"/>
      <w:bookmarkStart w:id="560" w:name="_Toc76033389"/>
      <w:bookmarkStart w:id="561" w:name="_Toc76568184"/>
      <w:bookmarkStart w:id="562" w:name="_Toc77249823"/>
      <w:bookmarkStart w:id="563" w:name="_Toc77848118"/>
      <w:bookmarkStart w:id="564" w:name="_Toc78458401"/>
      <w:bookmarkStart w:id="565" w:name="_Toc79065737"/>
      <w:bookmarkStart w:id="566" w:name="_Toc79674827"/>
      <w:bookmarkStart w:id="567" w:name="_Toc80967353"/>
      <w:bookmarkStart w:id="568" w:name="_Toc82098803"/>
      <w:bookmarkStart w:id="569" w:name="_Toc82697204"/>
      <w:bookmarkStart w:id="570" w:name="_Toc83296668"/>
      <w:bookmarkStart w:id="571" w:name="_Toc83896627"/>
      <w:bookmarkStart w:id="572" w:name="_Toc84511070"/>
      <w:bookmarkStart w:id="573" w:name="_Toc85126355"/>
      <w:bookmarkStart w:id="574" w:name="_Toc85726062"/>
      <w:bookmarkStart w:id="575" w:name="_Toc86326951"/>
      <w:bookmarkStart w:id="576" w:name="_Toc86928725"/>
      <w:bookmarkStart w:id="577" w:name="_Toc87533864"/>
      <w:bookmarkStart w:id="578" w:name="_Toc88139975"/>
      <w:bookmarkStart w:id="579" w:name="_Toc88827424"/>
      <w:bookmarkStart w:id="580" w:name="_Toc89348597"/>
      <w:bookmarkStart w:id="581" w:name="_Toc89954358"/>
      <w:bookmarkStart w:id="582" w:name="_Toc90547129"/>
      <w:bookmarkStart w:id="583" w:name="_Toc91162877"/>
      <w:bookmarkStart w:id="584" w:name="_Toc92977891"/>
      <w:bookmarkStart w:id="585" w:name="_Toc93582834"/>
      <w:bookmarkStart w:id="586" w:name="_Toc94185876"/>
      <w:bookmarkStart w:id="587" w:name="_Toc124758941"/>
      <w:bookmarkStart w:id="588" w:name="_Toc126243198"/>
      <w:bookmarkStart w:id="589" w:name="_Toc126844373"/>
      <w:bookmarkStart w:id="590" w:name="_Toc127449235"/>
      <w:bookmarkStart w:id="591" w:name="_Toc128057345"/>
      <w:bookmarkStart w:id="592" w:name="_Toc128657897"/>
      <w:bookmarkStart w:id="593" w:name="_Toc129265043"/>
      <w:bookmarkStart w:id="594" w:name="_Toc129869285"/>
      <w:bookmarkStart w:id="595" w:name="_Toc130472589"/>
      <w:bookmarkStart w:id="596" w:name="_Toc131080428"/>
      <w:bookmarkStart w:id="597" w:name="_Toc131684261"/>
      <w:bookmarkStart w:id="598" w:name="_Toc132288737"/>
      <w:bookmarkStart w:id="599" w:name="_Toc132880394"/>
      <w:bookmarkStart w:id="600" w:name="_Toc133498212"/>
      <w:bookmarkStart w:id="601" w:name="_Toc134108008"/>
      <w:bookmarkStart w:id="602" w:name="_Toc134709546"/>
      <w:bookmarkStart w:id="603" w:name="_Toc134709697"/>
      <w:bookmarkStart w:id="604" w:name="_Toc135315971"/>
      <w:bookmarkStart w:id="605" w:name="_Toc135915560"/>
      <w:bookmarkStart w:id="606" w:name="_Toc136526488"/>
      <w:bookmarkStart w:id="607" w:name="_Toc137126048"/>
      <w:bookmarkStart w:id="608" w:name="_Toc137733673"/>
      <w:bookmarkStart w:id="609" w:name="_Toc138336639"/>
      <w:bookmarkStart w:id="610" w:name="_Toc138940624"/>
      <w:bookmarkStart w:id="611" w:name="_Toc139544020"/>
      <w:bookmarkStart w:id="612" w:name="_Toc140151831"/>
      <w:bookmarkStart w:id="613" w:name="_Toc140757908"/>
      <w:bookmarkStart w:id="614" w:name="_Toc141359485"/>
      <w:bookmarkStart w:id="615" w:name="_Toc141965597"/>
      <w:bookmarkStart w:id="616" w:name="_Toc142569946"/>
      <w:bookmarkStart w:id="617" w:name="_Toc143175000"/>
      <w:bookmarkStart w:id="618" w:name="_Toc143779701"/>
      <w:bookmarkStart w:id="619" w:name="_Toc144384328"/>
      <w:bookmarkStart w:id="620" w:name="_Toc144991140"/>
      <w:bookmarkStart w:id="621" w:name="_Toc145601270"/>
      <w:bookmarkStart w:id="622" w:name="_Toc146205291"/>
      <w:bookmarkStart w:id="623" w:name="_Toc146808598"/>
      <w:bookmarkStart w:id="624" w:name="_Toc147412055"/>
      <w:bookmarkStart w:id="625" w:name="_Toc148007939"/>
      <w:bookmarkStart w:id="626" w:name="_Toc148621870"/>
      <w:bookmarkStart w:id="627" w:name="_Toc149228680"/>
      <w:bookmarkStart w:id="628" w:name="_Toc149826953"/>
      <w:bookmarkStart w:id="629" w:name="_Toc150433299"/>
      <w:bookmarkStart w:id="630" w:name="_Toc151040597"/>
      <w:bookmarkStart w:id="631" w:name="_Toc151645174"/>
      <w:bookmarkStart w:id="632" w:name="_Toc152248763"/>
      <w:bookmarkStart w:id="633" w:name="_Toc153458086"/>
      <w:bookmarkStart w:id="634" w:name="_Toc154061703"/>
      <w:bookmarkStart w:id="635" w:name="_Toc185497336"/>
      <w:bookmarkStart w:id="636" w:name="_Toc186722696"/>
      <w:bookmarkStart w:id="637" w:name="_Toc187326020"/>
      <w:bookmarkStart w:id="638" w:name="_Toc187919320"/>
      <w:bookmarkStart w:id="639" w:name="_Toc188519313"/>
      <w:bookmarkStart w:id="640" w:name="_Toc189746404"/>
      <w:bookmarkStart w:id="641" w:name="_Toc190348428"/>
      <w:bookmarkStart w:id="642" w:name="_Toc190954013"/>
      <w:bookmarkStart w:id="643" w:name="_Toc191559698"/>
      <w:bookmarkStart w:id="644" w:name="_Toc192153149"/>
      <w:bookmarkEnd w:id="1"/>
      <w:bookmarkEnd w:id="2"/>
      <w:bookmarkEnd w:id="3"/>
      <w:bookmarkEnd w:id="4"/>
      <w:bookmarkEnd w:id="14"/>
      <w:bookmarkEnd w:id="15"/>
      <w:bookmarkEnd w:id="16"/>
      <w:bookmarkEnd w:id="17"/>
      <w:bookmarkEnd w:id="18"/>
      <w:bookmarkEnd w:id="19"/>
      <w:bookmarkEnd w:id="20"/>
      <w:bookmarkEnd w:id="21"/>
      <w:bookmarkEnd w:id="22"/>
      <w:bookmarkEnd w:id="2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05172AC" w14:textId="77777777" w:rsidR="00E7374B" w:rsidRPr="00AE3070" w:rsidRDefault="00E7374B" w:rsidP="00E7374B">
      <w:pPr>
        <w:rPr>
          <w:sz w:val="20"/>
          <w:szCs w:val="20"/>
        </w:rPr>
      </w:pPr>
    </w:p>
    <w:p w14:paraId="66B328AE" w14:textId="77777777" w:rsidR="00B42BFF" w:rsidRPr="00AE3070" w:rsidRDefault="00B42BFF" w:rsidP="00B42BFF">
      <w:pPr>
        <w:spacing w:after="150" w:line="240" w:lineRule="auto"/>
        <w:jc w:val="both"/>
        <w:outlineLvl w:val="0"/>
        <w:rPr>
          <w:rFonts w:ascii="Aptos" w:eastAsia="Times New Roman" w:hAnsi="Aptos" w:cs="Times New Roman"/>
          <w:b/>
          <w:bCs/>
          <w:color w:val="002060"/>
          <w:kern w:val="36"/>
          <w:sz w:val="24"/>
          <w:szCs w:val="24"/>
        </w:rPr>
      </w:pPr>
      <w:bookmarkStart w:id="645" w:name="_Toc220587255"/>
      <w:proofErr w:type="spellStart"/>
      <w:r w:rsidRPr="00AE3070">
        <w:rPr>
          <w:rFonts w:ascii="Aptos" w:eastAsia="Times New Roman" w:hAnsi="Aptos" w:cs="Times New Roman"/>
          <w:b/>
          <w:bCs/>
          <w:color w:val="002060"/>
          <w:kern w:val="36"/>
          <w:sz w:val="24"/>
          <w:szCs w:val="24"/>
        </w:rPr>
        <w:t>Việt</w:t>
      </w:r>
      <w:proofErr w:type="spellEnd"/>
      <w:r w:rsidRPr="00AE3070">
        <w:rPr>
          <w:rFonts w:ascii="Aptos" w:eastAsia="Times New Roman" w:hAnsi="Aptos" w:cs="Times New Roman"/>
          <w:b/>
          <w:bCs/>
          <w:color w:val="002060"/>
          <w:kern w:val="36"/>
          <w:sz w:val="24"/>
          <w:szCs w:val="24"/>
        </w:rPr>
        <w:t xml:space="preserve"> Nam’s GDP growth may reach 10% in 2026 under upside scenario: </w:t>
      </w:r>
      <w:proofErr w:type="spellStart"/>
      <w:r w:rsidRPr="00AE3070">
        <w:rPr>
          <w:rFonts w:ascii="Aptos" w:eastAsia="Times New Roman" w:hAnsi="Aptos" w:cs="Times New Roman"/>
          <w:b/>
          <w:bCs/>
          <w:color w:val="002060"/>
          <w:kern w:val="36"/>
          <w:sz w:val="24"/>
          <w:szCs w:val="24"/>
        </w:rPr>
        <w:t>VinaCapital</w:t>
      </w:r>
      <w:bookmarkEnd w:id="645"/>
      <w:proofErr w:type="spellEnd"/>
    </w:p>
    <w:p w14:paraId="7FBB5812" w14:textId="2A2FD4E1" w:rsidR="00B42BFF" w:rsidRDefault="00B42BFF" w:rsidP="00B42BFF">
      <w:pPr>
        <w:spacing w:after="150" w:line="240" w:lineRule="auto"/>
        <w:jc w:val="both"/>
        <w:outlineLvl w:val="0"/>
        <w:rPr>
          <w:rFonts w:ascii="Aptos" w:eastAsia="Times New Roman" w:hAnsi="Aptos" w:cs="Poppins"/>
          <w:i/>
          <w:iCs/>
          <w:color w:val="002060"/>
          <w:sz w:val="18"/>
          <w:szCs w:val="18"/>
        </w:rPr>
      </w:pPr>
      <w:bookmarkStart w:id="646" w:name="_Toc220587256"/>
      <w:r w:rsidRPr="00B42BFF">
        <w:rPr>
          <w:rFonts w:ascii="Aptos" w:eastAsia="Times New Roman" w:hAnsi="Aptos" w:cs="Segoe UI"/>
          <w:i/>
          <w:iCs/>
          <w:color w:val="002060"/>
          <w:sz w:val="18"/>
          <w:szCs w:val="18"/>
        </w:rPr>
        <w:t>VNS</w:t>
      </w:r>
      <w:bookmarkEnd w:id="646"/>
      <w:r w:rsidRPr="00D775A6">
        <w:rPr>
          <w:rFonts w:ascii="Aptos" w:eastAsia="Times New Roman" w:hAnsi="Aptos" w:cs="Poppins"/>
          <w:i/>
          <w:iCs/>
          <w:color w:val="002060"/>
          <w:sz w:val="18"/>
          <w:szCs w:val="18"/>
        </w:rPr>
        <w:t xml:space="preserve"> </w:t>
      </w:r>
    </w:p>
    <w:p w14:paraId="407CE8DD" w14:textId="77777777" w:rsidR="00D775A6" w:rsidRPr="00D775A6" w:rsidRDefault="00D775A6" w:rsidP="00B42BFF">
      <w:pPr>
        <w:spacing w:after="150" w:line="240" w:lineRule="auto"/>
        <w:jc w:val="both"/>
        <w:outlineLvl w:val="0"/>
        <w:rPr>
          <w:rFonts w:ascii="Aptos" w:eastAsia="Times New Roman" w:hAnsi="Aptos" w:cs="Poppins"/>
          <w:i/>
          <w:iCs/>
          <w:color w:val="002060"/>
          <w:sz w:val="18"/>
          <w:szCs w:val="18"/>
        </w:rPr>
      </w:pPr>
    </w:p>
    <w:p w14:paraId="5B8E0735" w14:textId="69C563DE" w:rsidR="00B42BFF" w:rsidRPr="00B42BFF" w:rsidRDefault="00B42BFF" w:rsidP="00B42BFF">
      <w:pPr>
        <w:spacing w:line="240" w:lineRule="auto"/>
        <w:jc w:val="both"/>
        <w:rPr>
          <w:rFonts w:ascii="Aptos" w:eastAsia="Times New Roman" w:hAnsi="Aptos" w:cs="Poppins"/>
          <w:color w:val="002060"/>
        </w:rPr>
      </w:pPr>
      <w:r w:rsidRPr="00B42BFF">
        <w:rPr>
          <w:rFonts w:ascii="Aptos" w:eastAsia="Times New Roman" w:hAnsi="Aptos" w:cs="Poppins"/>
          <w:color w:val="002060"/>
        </w:rPr>
        <w:t xml:space="preserve">Michael </w:t>
      </w:r>
      <w:proofErr w:type="spellStart"/>
      <w:r w:rsidRPr="00B42BFF">
        <w:rPr>
          <w:rFonts w:ascii="Aptos" w:eastAsia="Times New Roman" w:hAnsi="Aptos" w:cs="Poppins"/>
          <w:color w:val="002060"/>
        </w:rPr>
        <w:t>Kokalari</w:t>
      </w:r>
      <w:proofErr w:type="spellEnd"/>
      <w:r w:rsidRPr="00B42BFF">
        <w:rPr>
          <w:rFonts w:ascii="Aptos" w:eastAsia="Times New Roman" w:hAnsi="Aptos" w:cs="Poppins"/>
          <w:color w:val="002060"/>
        </w:rPr>
        <w:t xml:space="preserve">, CFA and chief economist at </w:t>
      </w:r>
      <w:proofErr w:type="spellStart"/>
      <w:r w:rsidRPr="00B42BFF">
        <w:rPr>
          <w:rFonts w:ascii="Aptos" w:eastAsia="Times New Roman" w:hAnsi="Aptos" w:cs="Poppins"/>
          <w:color w:val="002060"/>
        </w:rPr>
        <w:t>VinaCapital</w:t>
      </w:r>
      <w:proofErr w:type="spellEnd"/>
      <w:r w:rsidRPr="00B42BFF">
        <w:rPr>
          <w:rFonts w:ascii="Aptos" w:eastAsia="Times New Roman" w:hAnsi="Aptos" w:cs="Poppins"/>
          <w:color w:val="002060"/>
        </w:rPr>
        <w:t>, said the three main dynamics expected to drive GDP growth in 2026 are a modest recovery in consumption, the infrastructure–real estate growth nexus, and resilient exports to the US.</w:t>
      </w:r>
    </w:p>
    <w:tbl>
      <w:tblPr>
        <w:tblW w:w="6" w:type="dxa"/>
        <w:tblCellMar>
          <w:top w:w="15" w:type="dxa"/>
          <w:left w:w="15" w:type="dxa"/>
          <w:bottom w:w="15" w:type="dxa"/>
          <w:right w:w="15" w:type="dxa"/>
        </w:tblCellMar>
        <w:tblLook w:val="04A0" w:firstRow="1" w:lastRow="0" w:firstColumn="1" w:lastColumn="0" w:noHBand="0" w:noVBand="1"/>
      </w:tblPr>
      <w:tblGrid>
        <w:gridCol w:w="6"/>
      </w:tblGrid>
      <w:tr w:rsidR="00B42BFF" w:rsidRPr="00B42BFF" w14:paraId="7DFE8D6E" w14:textId="77777777" w:rsidTr="00AE3070">
        <w:tc>
          <w:tcPr>
            <w:tcW w:w="0" w:type="auto"/>
            <w:tcBorders>
              <w:top w:val="nil"/>
              <w:left w:val="nil"/>
              <w:bottom w:val="nil"/>
              <w:right w:val="nil"/>
            </w:tcBorders>
            <w:tcMar>
              <w:top w:w="0" w:type="dxa"/>
              <w:left w:w="0" w:type="dxa"/>
              <w:bottom w:w="0" w:type="dxa"/>
              <w:right w:w="0" w:type="dxa"/>
            </w:tcMar>
            <w:vAlign w:val="center"/>
            <w:hideMark/>
          </w:tcPr>
          <w:p w14:paraId="72B7532B" w14:textId="61A7B8E5" w:rsidR="00B42BFF" w:rsidRPr="00B42BFF" w:rsidRDefault="00B42BFF" w:rsidP="00B42BFF">
            <w:pPr>
              <w:spacing w:after="450" w:line="420" w:lineRule="atLeast"/>
              <w:jc w:val="both"/>
              <w:rPr>
                <w:rFonts w:ascii="Aptos" w:eastAsia="Times New Roman" w:hAnsi="Aptos" w:cs="Segoe UI"/>
                <w:color w:val="002060"/>
              </w:rPr>
            </w:pPr>
          </w:p>
        </w:tc>
      </w:tr>
    </w:tbl>
    <w:p w14:paraId="066DBAAA" w14:textId="05E908D2" w:rsidR="00B42BFF" w:rsidRPr="00B42BFF" w:rsidRDefault="00B42BFF" w:rsidP="00B42BFF">
      <w:pPr>
        <w:spacing w:after="450" w:line="420" w:lineRule="atLeast"/>
        <w:jc w:val="both"/>
        <w:rPr>
          <w:rFonts w:ascii="Aptos" w:eastAsia="Times New Roman" w:hAnsi="Aptos" w:cs="Segoe UI"/>
          <w:color w:val="002060"/>
        </w:rPr>
      </w:pP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xml:space="preserve"> has offered an optimistic assessment of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Nam’s economic growth prospects, projecting GDP growth of up to 10 per cent in 2026 under an upside scenario supported by strong infrastructure spending, resilient exports and a modest recovery in domestic consumption.</w:t>
      </w:r>
    </w:p>
    <w:p w14:paraId="3A9ED1F7"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In its latest macroeconomic report, Looking Ahead at 2026, the investment firm said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Nam’s economy expanded by 8 per cent in 2025 and was expected to maintain solid momentum this year.</w:t>
      </w:r>
    </w:p>
    <w:p w14:paraId="79E9D222"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lastRenderedPageBreak/>
        <w:t>“The Government expects GDP growth to accelerate to 10 per cent in 2026, and we also see very strong growth potential, driven by soaring infrastructure spending, resilient exports and modest consumption recovery,” the report notes.</w:t>
      </w:r>
    </w:p>
    <w:p w14:paraId="1A2F67A7"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Michael </w:t>
      </w:r>
      <w:proofErr w:type="spellStart"/>
      <w:r w:rsidRPr="00B42BFF">
        <w:rPr>
          <w:rFonts w:ascii="Aptos" w:eastAsia="Times New Roman" w:hAnsi="Aptos" w:cs="Segoe UI"/>
          <w:color w:val="002060"/>
        </w:rPr>
        <w:t>Kokalari</w:t>
      </w:r>
      <w:proofErr w:type="spellEnd"/>
      <w:r w:rsidRPr="00B42BFF">
        <w:rPr>
          <w:rFonts w:ascii="Aptos" w:eastAsia="Times New Roman" w:hAnsi="Aptos" w:cs="Segoe UI"/>
          <w:color w:val="002060"/>
        </w:rPr>
        <w:t xml:space="preserve">, CFA and chief economist at </w:t>
      </w: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said economic growth in 2025 was significantly boosted by an 80 per cent jump in exports of laptops and other high-tech items to the US and by a 42 per cent increase in both Chinese and Indian tourist arrivals, which masked mediocre domestic consumer spending growth.</w:t>
      </w:r>
    </w:p>
    <w:p w14:paraId="27A82A8A"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This year, both consumption and export growth were expected to </w:t>
      </w:r>
      <w:proofErr w:type="spellStart"/>
      <w:r w:rsidRPr="00B42BFF">
        <w:rPr>
          <w:rFonts w:ascii="Aptos" w:eastAsia="Times New Roman" w:hAnsi="Aptos" w:cs="Segoe UI"/>
          <w:color w:val="002060"/>
        </w:rPr>
        <w:t>normalise</w:t>
      </w:r>
      <w:proofErr w:type="spellEnd"/>
      <w:r w:rsidRPr="00B42BFF">
        <w:rPr>
          <w:rFonts w:ascii="Aptos" w:eastAsia="Times New Roman" w:hAnsi="Aptos" w:cs="Segoe UI"/>
          <w:color w:val="002060"/>
        </w:rPr>
        <w:t>. These two dynamics would largely offset each other, while the lagged impact of an infrastructure spending surge in 2025 would support GDP growth in 2026.</w:t>
      </w:r>
    </w:p>
    <w:p w14:paraId="7974C4CC"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“The three main dynamics we expect to drive GDP growth in 2026 are a modest recovery in consumption, the infrastructure–real estate growth nexus, and resilient exports to the US,” he said.</w:t>
      </w:r>
    </w:p>
    <w:p w14:paraId="0FAED00E"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Under its base-case scenario, </w:t>
      </w: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xml:space="preserve"> forecasts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Nam’s GDP growth at around 8 per cent in 2026. In a more positive scenario, growth could reach 10 per cent, supported by relatively ample policy space that would allow the Government to proactively deploy growth-supporting measures if needed.</w:t>
      </w:r>
    </w:p>
    <w:p w14:paraId="40706BFF" w14:textId="77777777" w:rsidR="00B42BFF" w:rsidRPr="00B42BFF" w:rsidRDefault="00B42BFF" w:rsidP="00B42BFF">
      <w:pPr>
        <w:spacing w:after="450" w:line="420" w:lineRule="atLeast"/>
        <w:jc w:val="both"/>
        <w:rPr>
          <w:rFonts w:ascii="Aptos" w:eastAsia="Times New Roman" w:hAnsi="Aptos" w:cs="Segoe UI"/>
          <w:color w:val="002060"/>
        </w:rPr>
      </w:pP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xml:space="preserve"> expects domestic consumption to return to more normal growth levels – though not a boom – by mid-2026, at which point the savings rate will have been elevated for nearly three years, giving households ample time to rebuild a considerable portion of their pre-COVID savings.</w:t>
      </w:r>
    </w:p>
    <w:p w14:paraId="33EBF758"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Household incomes have grown at an annual pace of around 6-7 per cent over the past two years, while both the stock market and real estate prices rose by more than 30 per cent in 2025, providing a stronger foundation for consumer spending.</w:t>
      </w:r>
    </w:p>
    <w:p w14:paraId="7E7CBF69"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However, the firm notes that the Government’s ambitious growth target for 2026 can only be achieved with stronger consumption growth. While authorities have already introduced several measures to support demand, </w:t>
      </w: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xml:space="preserve"> says there remained significant scope for further action.</w:t>
      </w:r>
    </w:p>
    <w:p w14:paraId="12C81430"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Recent policy steps include the extension and expansion of a VAT reduction, a modest cut in personal income taxes, and partial easing of new taxes on household businesses, which had weighed on consumer sentiment.</w:t>
      </w:r>
    </w:p>
    <w:p w14:paraId="20BB1E6D"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lastRenderedPageBreak/>
        <w:t xml:space="preserve">While these measures are expected to support spending, their direct impact on GDP growth is estimated at less than 0.5 percentage points. Nevertheless, </w:t>
      </w: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xml:space="preserve"> stresses that the policy framework is now in place, enabling the Government to scale up stimulus if necessary.</w:t>
      </w:r>
    </w:p>
    <w:p w14:paraId="3DCC2464"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Infrastructure investment is expected to be another major growth driver in 2026. Infrastructure disbursement rose by around 40 per cent in 2025, and </w:t>
      </w: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xml:space="preserve"> forecasts a further 20–30 per cent increase this year.</w:t>
      </w:r>
    </w:p>
    <w:p w14:paraId="5B9CF1E7"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“We see a nexus connecting infrastructure, feeding into real estate, and ultimately boosting consumption,” </w:t>
      </w:r>
      <w:proofErr w:type="spellStart"/>
      <w:r w:rsidRPr="00B42BFF">
        <w:rPr>
          <w:rFonts w:ascii="Aptos" w:eastAsia="Times New Roman" w:hAnsi="Aptos" w:cs="Segoe UI"/>
          <w:color w:val="002060"/>
        </w:rPr>
        <w:t>Kokalari</w:t>
      </w:r>
      <w:proofErr w:type="spellEnd"/>
      <w:r w:rsidRPr="00B42BFF">
        <w:rPr>
          <w:rFonts w:ascii="Aptos" w:eastAsia="Times New Roman" w:hAnsi="Aptos" w:cs="Segoe UI"/>
          <w:color w:val="002060"/>
        </w:rPr>
        <w:t xml:space="preserve"> said. In the short term, higher infrastructure spending could lift GDP growth in a manner </w:t>
      </w:r>
      <w:proofErr w:type="gramStart"/>
      <w:r w:rsidRPr="00B42BFF">
        <w:rPr>
          <w:rFonts w:ascii="Aptos" w:eastAsia="Times New Roman" w:hAnsi="Aptos" w:cs="Segoe UI"/>
          <w:color w:val="002060"/>
        </w:rPr>
        <w:t>similar to</w:t>
      </w:r>
      <w:proofErr w:type="gramEnd"/>
      <w:r w:rsidRPr="00B42BFF">
        <w:rPr>
          <w:rFonts w:ascii="Aptos" w:eastAsia="Times New Roman" w:hAnsi="Aptos" w:cs="Segoe UI"/>
          <w:color w:val="002060"/>
        </w:rPr>
        <w:t xml:space="preserve"> China’s post-global financial crisis stimulus.</w:t>
      </w:r>
    </w:p>
    <w:p w14:paraId="2EF90FEC" w14:textId="77777777" w:rsidR="00B42BFF" w:rsidRPr="00B42BFF" w:rsidRDefault="00B42BFF" w:rsidP="00B42BFF">
      <w:pPr>
        <w:spacing w:after="450" w:line="420" w:lineRule="atLeast"/>
        <w:jc w:val="both"/>
        <w:rPr>
          <w:rFonts w:ascii="Aptos" w:eastAsia="Times New Roman" w:hAnsi="Aptos" w:cs="Segoe UI"/>
          <w:color w:val="002060"/>
        </w:rPr>
      </w:pP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 has ample fiscal room to expand infrastructure investment, with Government debt well below 40 per cent of GDP, according to </w:t>
      </w:r>
      <w:proofErr w:type="spellStart"/>
      <w:r w:rsidRPr="00B42BFF">
        <w:rPr>
          <w:rFonts w:ascii="Aptos" w:eastAsia="Times New Roman" w:hAnsi="Aptos" w:cs="Segoe UI"/>
          <w:color w:val="002060"/>
        </w:rPr>
        <w:t>Kokalari</w:t>
      </w:r>
      <w:proofErr w:type="spellEnd"/>
      <w:r w:rsidRPr="00B42BFF">
        <w:rPr>
          <w:rFonts w:ascii="Aptos" w:eastAsia="Times New Roman" w:hAnsi="Aptos" w:cs="Segoe UI"/>
          <w:color w:val="002060"/>
        </w:rPr>
        <w:t>.</w:t>
      </w:r>
    </w:p>
    <w:p w14:paraId="23E4A4E2"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Ongoing regulatory reforms are also expected to unlock a surge in real estate supply. Imminent changes related to land clearance and compensation for rezoned residential land could revive up to 80 per cent of previously stalled projects, effectively turning them into 'shovel-ready' developments capable of delivering an immediate boost to growth.</w:t>
      </w:r>
    </w:p>
    <w:p w14:paraId="159624E8"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Exports, particularly to the US, are expected to remain resilient in 2026.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Nam’s exports to the US rose by 28 per cent in 2025, contributing to a trade surplus equivalent to about 4 per cent of GDP. While </w:t>
      </w: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xml:space="preserve"> had initially expected export growth to slow following the imposition of a 20 per cent reciprocal tariff by the Trump administration in August, shipments remained strong.</w:t>
      </w:r>
    </w:p>
    <w:p w14:paraId="3C12919A"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Effective US tariffs on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Nam’s exports were softened by exemptions and carve-outs for certain products, including electronics, leaving tariff levels comparable to or lower than those faced by regional competitors. As long as tariff differentials do not exceed around 10 percentage points,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Nam’s exports should remain competitive due to lower </w:t>
      </w:r>
      <w:proofErr w:type="spellStart"/>
      <w:r w:rsidRPr="00B42BFF">
        <w:rPr>
          <w:rFonts w:ascii="Aptos" w:eastAsia="Times New Roman" w:hAnsi="Aptos" w:cs="Segoe UI"/>
          <w:color w:val="002060"/>
        </w:rPr>
        <w:t>labour</w:t>
      </w:r>
      <w:proofErr w:type="spellEnd"/>
      <w:r w:rsidRPr="00B42BFF">
        <w:rPr>
          <w:rFonts w:ascii="Aptos" w:eastAsia="Times New Roman" w:hAnsi="Aptos" w:cs="Segoe UI"/>
          <w:color w:val="002060"/>
        </w:rPr>
        <w:t xml:space="preserve"> costs and other structural advantages. As a result, foreign direct investment inflows remained robust, rising by 9 per cent in 2025 to around 5 per cent of GDP.</w:t>
      </w:r>
    </w:p>
    <w:p w14:paraId="2F689910" w14:textId="77777777" w:rsidR="00B42BFF" w:rsidRPr="00B42BFF" w:rsidRDefault="00B42BFF" w:rsidP="00B42BFF">
      <w:pPr>
        <w:spacing w:after="450" w:line="420" w:lineRule="atLeast"/>
        <w:jc w:val="both"/>
        <w:rPr>
          <w:rFonts w:ascii="Aptos" w:eastAsia="Times New Roman" w:hAnsi="Aptos" w:cs="Segoe UI"/>
          <w:color w:val="002060"/>
        </w:rPr>
      </w:pPr>
      <w:proofErr w:type="spellStart"/>
      <w:r w:rsidRPr="00B42BFF">
        <w:rPr>
          <w:rFonts w:ascii="Aptos" w:eastAsia="Times New Roman" w:hAnsi="Aptos" w:cs="Segoe UI"/>
          <w:color w:val="002060"/>
        </w:rPr>
        <w:t>VinaCapital</w:t>
      </w:r>
      <w:proofErr w:type="spellEnd"/>
      <w:r w:rsidRPr="00B42BFF">
        <w:rPr>
          <w:rFonts w:ascii="Aptos" w:eastAsia="Times New Roman" w:hAnsi="Aptos" w:cs="Segoe UI"/>
          <w:color w:val="002060"/>
        </w:rPr>
        <w:t xml:space="preserve"> expects US demand to remain firm in 2026, supported by strong consumption among upper middle-income households and expansionary fiscal and monetary policies ahead of the US mid-term elections. The firm </w:t>
      </w:r>
      <w:r w:rsidRPr="00B42BFF">
        <w:rPr>
          <w:rFonts w:ascii="Aptos" w:eastAsia="Times New Roman" w:hAnsi="Aptos" w:cs="Segoe UI"/>
          <w:color w:val="002060"/>
        </w:rPr>
        <w:lastRenderedPageBreak/>
        <w:t xml:space="preserve">also downplays risks related to potential </w:t>
      </w:r>
      <w:proofErr w:type="spellStart"/>
      <w:r w:rsidRPr="00B42BFF">
        <w:rPr>
          <w:rFonts w:ascii="Aptos" w:eastAsia="Times New Roman" w:hAnsi="Aptos" w:cs="Segoe UI"/>
          <w:color w:val="002060"/>
        </w:rPr>
        <w:t>transhipment</w:t>
      </w:r>
      <w:proofErr w:type="spellEnd"/>
      <w:r w:rsidRPr="00B42BFF">
        <w:rPr>
          <w:rFonts w:ascii="Aptos" w:eastAsia="Times New Roman" w:hAnsi="Aptos" w:cs="Segoe UI"/>
          <w:color w:val="002060"/>
        </w:rPr>
        <w:t xml:space="preserve"> tariffs, saying it is unlikely that more than a de minimis share of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Nam’s exports to the US would incur such tariffs.</w:t>
      </w:r>
    </w:p>
    <w:p w14:paraId="5AC4C5AA"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Key downside risks highlighted in the report include a potential US recession, 'grey swan' events such as geopolitical shocks or a yen carry trade unwind, and a sharp rise in domestic interest rates.</w:t>
      </w:r>
    </w:p>
    <w:p w14:paraId="49DFF634" w14:textId="77777777"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Separately, other international financial institutions have also expressed optimism about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Nam’s 2026 growth outlook. </w:t>
      </w:r>
      <w:proofErr w:type="spellStart"/>
      <w:r w:rsidRPr="00B42BFF">
        <w:rPr>
          <w:rFonts w:ascii="Aptos" w:eastAsia="Times New Roman" w:hAnsi="Aptos" w:cs="Segoe UI"/>
          <w:color w:val="002060"/>
        </w:rPr>
        <w:t>UOB</w:t>
      </w:r>
      <w:proofErr w:type="spellEnd"/>
      <w:r w:rsidRPr="00B42BFF">
        <w:rPr>
          <w:rFonts w:ascii="Aptos" w:eastAsia="Times New Roman" w:hAnsi="Aptos" w:cs="Segoe UI"/>
          <w:color w:val="002060"/>
        </w:rPr>
        <w:t xml:space="preserve"> projects GDP growth of around 7.5 per cent, while Standard Chartered forecasts 7.2 per cent.</w:t>
      </w:r>
    </w:p>
    <w:p w14:paraId="2FF514DD" w14:textId="1E69F34E" w:rsidR="00B42BFF" w:rsidRPr="00B42BFF" w:rsidRDefault="00B42BFF" w:rsidP="00B42BFF">
      <w:pPr>
        <w:spacing w:after="450" w:line="420" w:lineRule="atLeast"/>
        <w:jc w:val="both"/>
        <w:rPr>
          <w:rFonts w:ascii="Aptos" w:eastAsia="Times New Roman" w:hAnsi="Aptos" w:cs="Segoe UI"/>
          <w:color w:val="002060"/>
        </w:rPr>
      </w:pPr>
      <w:r w:rsidRPr="00B42BFF">
        <w:rPr>
          <w:rFonts w:ascii="Aptos" w:eastAsia="Times New Roman" w:hAnsi="Aptos" w:cs="Segoe UI"/>
          <w:color w:val="002060"/>
        </w:rPr>
        <w:t xml:space="preserve">According to Tim </w:t>
      </w:r>
      <w:proofErr w:type="spellStart"/>
      <w:r w:rsidRPr="00B42BFF">
        <w:rPr>
          <w:rFonts w:ascii="Aptos" w:eastAsia="Times New Roman" w:hAnsi="Aptos" w:cs="Segoe UI"/>
          <w:color w:val="002060"/>
        </w:rPr>
        <w:t>Leelahaphan</w:t>
      </w:r>
      <w:proofErr w:type="spellEnd"/>
      <w:r w:rsidRPr="00B42BFF">
        <w:rPr>
          <w:rFonts w:ascii="Aptos" w:eastAsia="Times New Roman" w:hAnsi="Aptos" w:cs="Segoe UI"/>
          <w:color w:val="002060"/>
        </w:rPr>
        <w:t xml:space="preserve">, senior economist for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 and Thailand at Standard Chartered Bank, </w:t>
      </w:r>
      <w:proofErr w:type="spellStart"/>
      <w:r w:rsidRPr="00B42BFF">
        <w:rPr>
          <w:rFonts w:ascii="Aptos" w:eastAsia="Times New Roman" w:hAnsi="Aptos" w:cs="Segoe UI"/>
          <w:color w:val="002060"/>
        </w:rPr>
        <w:t>Việt</w:t>
      </w:r>
      <w:proofErr w:type="spellEnd"/>
      <w:r w:rsidRPr="00B42BFF">
        <w:rPr>
          <w:rFonts w:ascii="Aptos" w:eastAsia="Times New Roman" w:hAnsi="Aptos" w:cs="Segoe UI"/>
          <w:color w:val="002060"/>
        </w:rPr>
        <w:t xml:space="preserve"> Nam is set to remain one of Asia’s fastest-growing economies, supported by competitive manufacturing, resilient exports, sustained </w:t>
      </w:r>
      <w:proofErr w:type="spellStart"/>
      <w:r w:rsidRPr="00B42BFF">
        <w:rPr>
          <w:rFonts w:ascii="Aptos" w:eastAsia="Times New Roman" w:hAnsi="Aptos" w:cs="Segoe UI"/>
          <w:color w:val="002060"/>
        </w:rPr>
        <w:t>FDI</w:t>
      </w:r>
      <w:proofErr w:type="spellEnd"/>
      <w:r w:rsidRPr="00B42BFF">
        <w:rPr>
          <w:rFonts w:ascii="Aptos" w:eastAsia="Times New Roman" w:hAnsi="Aptos" w:cs="Segoe UI"/>
          <w:color w:val="002060"/>
        </w:rPr>
        <w:t xml:space="preserve"> inflows and improving domestic demand.</w:t>
      </w:r>
    </w:p>
    <w:p w14:paraId="45244E9C" w14:textId="77777777" w:rsidR="00D775A6" w:rsidRDefault="009A69E6" w:rsidP="00D775A6">
      <w:pPr>
        <w:spacing w:line="288" w:lineRule="auto"/>
        <w:jc w:val="right"/>
        <w:rPr>
          <w:rStyle w:val="Hyperlink"/>
          <w:rFonts w:ascii="Aptos" w:eastAsia="Malgun Gothic" w:hAnsi="Aptos" w:cs="Times New Roman"/>
          <w:color w:val="002060"/>
        </w:rPr>
      </w:pPr>
      <w:hyperlink w:anchor="_top" w:history="1">
        <w:r w:rsidR="00D775A6" w:rsidRPr="004C6CBE">
          <w:rPr>
            <w:rStyle w:val="Hyperlink"/>
            <w:rFonts w:ascii="Aptos" w:eastAsia="Malgun Gothic" w:hAnsi="Aptos" w:cs="Times New Roman"/>
            <w:color w:val="002060"/>
          </w:rPr>
          <w:t>Back to Top</w:t>
        </w:r>
      </w:hyperlink>
    </w:p>
    <w:p w14:paraId="222D758E" w14:textId="77777777" w:rsidR="00D775A6" w:rsidRDefault="00D775A6" w:rsidP="00D775A6">
      <w:pPr>
        <w:spacing w:line="288" w:lineRule="auto"/>
        <w:jc w:val="right"/>
        <w:rPr>
          <w:rStyle w:val="Hyperlink"/>
          <w:rFonts w:ascii="Aptos" w:eastAsia="Malgun Gothic" w:hAnsi="Aptos" w:cs="Times New Roman"/>
          <w:color w:val="002060"/>
        </w:rPr>
      </w:pPr>
    </w:p>
    <w:p w14:paraId="0BFE4102" w14:textId="77777777" w:rsidR="00344089" w:rsidRPr="00344089" w:rsidRDefault="00344089" w:rsidP="00344089"/>
    <w:p w14:paraId="4B0EE75C" w14:textId="77777777" w:rsidR="00E7374B" w:rsidRPr="00AE3070" w:rsidRDefault="00E7374B" w:rsidP="00E7374B">
      <w:pPr>
        <w:spacing w:after="150" w:line="288" w:lineRule="auto"/>
        <w:jc w:val="both"/>
        <w:outlineLvl w:val="0"/>
        <w:rPr>
          <w:rFonts w:ascii="Aptos" w:eastAsia="Times New Roman" w:hAnsi="Aptos" w:cs="Times New Roman"/>
          <w:b/>
          <w:bCs/>
          <w:color w:val="002060"/>
          <w:kern w:val="36"/>
          <w:sz w:val="24"/>
          <w:szCs w:val="24"/>
        </w:rPr>
      </w:pPr>
      <w:bookmarkStart w:id="647" w:name="_Toc220587257"/>
      <w:r w:rsidRPr="00AE3070">
        <w:rPr>
          <w:rFonts w:ascii="Aptos" w:eastAsia="Times New Roman" w:hAnsi="Aptos" w:cs="Times New Roman"/>
          <w:b/>
          <w:bCs/>
          <w:color w:val="002060"/>
          <w:kern w:val="36"/>
          <w:sz w:val="24"/>
          <w:szCs w:val="24"/>
        </w:rPr>
        <w:t>Resolution 68 seen as catalyst for private investment in key infrastructure projects: official</w:t>
      </w:r>
      <w:bookmarkEnd w:id="647"/>
    </w:p>
    <w:p w14:paraId="15CE8E30" w14:textId="77777777" w:rsidR="00E7374B" w:rsidRDefault="00E7374B" w:rsidP="00E7374B">
      <w:pPr>
        <w:spacing w:after="150" w:line="288" w:lineRule="auto"/>
        <w:jc w:val="both"/>
        <w:rPr>
          <w:rFonts w:ascii="Aptos" w:eastAsia="Times New Roman" w:hAnsi="Aptos" w:cs="Poppins"/>
          <w:i/>
          <w:iCs/>
          <w:color w:val="002060"/>
          <w:sz w:val="18"/>
          <w:szCs w:val="18"/>
        </w:rPr>
      </w:pPr>
      <w:r w:rsidRPr="00F81137">
        <w:rPr>
          <w:rFonts w:ascii="Aptos" w:eastAsia="Times New Roman" w:hAnsi="Aptos" w:cs="Poppins"/>
          <w:i/>
          <w:iCs/>
          <w:color w:val="002060"/>
          <w:sz w:val="18"/>
          <w:szCs w:val="18"/>
        </w:rPr>
        <w:t>VNS</w:t>
      </w:r>
    </w:p>
    <w:p w14:paraId="73589237" w14:textId="77777777" w:rsidR="009A69E6" w:rsidRPr="00F81137" w:rsidRDefault="009A69E6" w:rsidP="00E7374B">
      <w:pPr>
        <w:spacing w:after="150" w:line="288" w:lineRule="auto"/>
        <w:jc w:val="both"/>
        <w:rPr>
          <w:rFonts w:ascii="Aptos" w:eastAsia="Times New Roman" w:hAnsi="Aptos" w:cs="Poppins"/>
          <w:i/>
          <w:iCs/>
          <w:color w:val="002060"/>
        </w:rPr>
      </w:pPr>
    </w:p>
    <w:p w14:paraId="30319224" w14:textId="77777777" w:rsidR="00E7374B" w:rsidRPr="00F81137" w:rsidRDefault="00E7374B" w:rsidP="00E7374B">
      <w:pPr>
        <w:spacing w:line="288" w:lineRule="auto"/>
        <w:jc w:val="both"/>
        <w:rPr>
          <w:rFonts w:ascii="Aptos" w:eastAsia="Times New Roman" w:hAnsi="Aptos" w:cs="Poppins"/>
          <w:color w:val="002060"/>
        </w:rPr>
      </w:pPr>
      <w:r w:rsidRPr="00F81137">
        <w:rPr>
          <w:rFonts w:ascii="Aptos" w:eastAsia="Times New Roman" w:hAnsi="Aptos" w:cs="Poppins"/>
          <w:color w:val="002060"/>
        </w:rPr>
        <w:t>Resolution 68-NQ/TW of the Politburo on the development of the private economic sector has been warmly welcomed by the business community.</w:t>
      </w:r>
    </w:p>
    <w:p w14:paraId="7685292E" w14:textId="77777777" w:rsidR="00E7374B" w:rsidRPr="00F81137" w:rsidRDefault="00E7374B" w:rsidP="00E7374B">
      <w:pPr>
        <w:spacing w:after="450" w:line="288" w:lineRule="auto"/>
        <w:jc w:val="both"/>
        <w:rPr>
          <w:rFonts w:ascii="Aptos" w:eastAsia="Times New Roman" w:hAnsi="Aptos" w:cs="Segoe UI"/>
          <w:color w:val="002060"/>
        </w:rPr>
      </w:pPr>
      <w:r w:rsidRPr="00F81137">
        <w:rPr>
          <w:rFonts w:ascii="Aptos" w:eastAsia="Times New Roman" w:hAnsi="Aptos" w:cs="Segoe UI"/>
          <w:color w:val="002060"/>
        </w:rPr>
        <w:t xml:space="preserve">Resolution 68-NQ/TW of the Politburo on the development of the private economic sector has been warmly welcomed by the business community, as it introduces a wide range of comprehensive, innovative and breakthrough measures capable of </w:t>
      </w:r>
      <w:proofErr w:type="spellStart"/>
      <w:r w:rsidRPr="00F81137">
        <w:rPr>
          <w:rFonts w:ascii="Aptos" w:eastAsia="Times New Roman" w:hAnsi="Aptos" w:cs="Segoe UI"/>
          <w:color w:val="002060"/>
        </w:rPr>
        <w:t>mobilising</w:t>
      </w:r>
      <w:proofErr w:type="spellEnd"/>
      <w:r w:rsidRPr="00F81137">
        <w:rPr>
          <w:rFonts w:ascii="Aptos" w:eastAsia="Times New Roman" w:hAnsi="Aptos" w:cs="Segoe UI"/>
          <w:color w:val="002060"/>
        </w:rPr>
        <w:t xml:space="preserve"> the sector's resources for socio-economic development, particularly in major infrastructure projects, an official has said.</w:t>
      </w:r>
    </w:p>
    <w:p w14:paraId="6D89B621" w14:textId="77777777" w:rsidR="00E7374B" w:rsidRPr="00F81137" w:rsidRDefault="00E7374B" w:rsidP="00E7374B">
      <w:pPr>
        <w:spacing w:after="450" w:line="288" w:lineRule="auto"/>
        <w:jc w:val="both"/>
        <w:rPr>
          <w:rFonts w:ascii="Aptos" w:eastAsia="Times New Roman" w:hAnsi="Aptos" w:cs="Segoe UI"/>
          <w:color w:val="002060"/>
        </w:rPr>
      </w:pPr>
      <w:proofErr w:type="spellStart"/>
      <w:r w:rsidRPr="00F81137">
        <w:rPr>
          <w:rFonts w:ascii="Aptos" w:eastAsia="Times New Roman" w:hAnsi="Aptos" w:cs="Segoe UI"/>
          <w:color w:val="002060"/>
        </w:rPr>
        <w:t>Trịnh</w:t>
      </w:r>
      <w:proofErr w:type="spellEnd"/>
      <w:r w:rsidRPr="00F81137">
        <w:rPr>
          <w:rFonts w:ascii="Aptos" w:eastAsia="Times New Roman" w:hAnsi="Aptos" w:cs="Segoe UI"/>
          <w:color w:val="002060"/>
        </w:rPr>
        <w:t xml:space="preserve"> </w:t>
      </w:r>
      <w:proofErr w:type="spellStart"/>
      <w:r w:rsidRPr="00F81137">
        <w:rPr>
          <w:rFonts w:ascii="Aptos" w:eastAsia="Times New Roman" w:hAnsi="Aptos" w:cs="Segoe UI"/>
          <w:color w:val="002060"/>
        </w:rPr>
        <w:t>Thị</w:t>
      </w:r>
      <w:proofErr w:type="spellEnd"/>
      <w:r w:rsidRPr="00F81137">
        <w:rPr>
          <w:rFonts w:ascii="Aptos" w:eastAsia="Times New Roman" w:hAnsi="Aptos" w:cs="Segoe UI"/>
          <w:color w:val="002060"/>
        </w:rPr>
        <w:t xml:space="preserve"> </w:t>
      </w:r>
      <w:proofErr w:type="spellStart"/>
      <w:r w:rsidRPr="00F81137">
        <w:rPr>
          <w:rFonts w:ascii="Aptos" w:eastAsia="Times New Roman" w:hAnsi="Aptos" w:cs="Segoe UI"/>
          <w:color w:val="002060"/>
        </w:rPr>
        <w:t>Hương</w:t>
      </w:r>
      <w:proofErr w:type="spellEnd"/>
      <w:r w:rsidRPr="00F81137">
        <w:rPr>
          <w:rFonts w:ascii="Aptos" w:eastAsia="Times New Roman" w:hAnsi="Aptos" w:cs="Segoe UI"/>
          <w:color w:val="002060"/>
        </w:rPr>
        <w:t>, Deputy Director of the Agency for Private Enterprise and Cooperative Development under the Ministry of Finance, told the Vietnam News Agency that the measures include proactive state commissioning, limited or designated bidding, as well as preferential and incentive mechanisms to encourage private participation alongside the state in investment in strategic infrastructure projects. These include digital infrastructure, energy infrastructure, logistics systems and green transport. She added that the resolution also promotes solutions to diversify and enhance the effectiveness of public-private partnership (PPP) models, such as public leadership–private governance, public investment–private management, and private investment–public use in economic infrastructure. These approaches are expected to expand opportunities for the sector’s involvement in key national projects.</w:t>
      </w:r>
    </w:p>
    <w:p w14:paraId="571D09E5" w14:textId="77777777" w:rsidR="00E7374B" w:rsidRPr="00F81137" w:rsidRDefault="00E7374B" w:rsidP="00E7374B">
      <w:pPr>
        <w:spacing w:after="450" w:line="288" w:lineRule="auto"/>
        <w:jc w:val="both"/>
        <w:rPr>
          <w:rFonts w:ascii="Aptos" w:eastAsia="Times New Roman" w:hAnsi="Aptos" w:cs="Segoe UI"/>
          <w:color w:val="002060"/>
        </w:rPr>
      </w:pPr>
      <w:r w:rsidRPr="00F81137">
        <w:rPr>
          <w:rFonts w:ascii="Aptos" w:eastAsia="Times New Roman" w:hAnsi="Aptos" w:cs="Segoe UI"/>
          <w:color w:val="002060"/>
        </w:rPr>
        <w:lastRenderedPageBreak/>
        <w:t xml:space="preserve">According to official figures, following three waves of ground-breaking and inauguration of major projects, there are currently around 564 underway, with total </w:t>
      </w:r>
      <w:proofErr w:type="spellStart"/>
      <w:r w:rsidRPr="00F81137">
        <w:rPr>
          <w:rFonts w:ascii="Aptos" w:eastAsia="Times New Roman" w:hAnsi="Aptos" w:cs="Segoe UI"/>
          <w:color w:val="002060"/>
        </w:rPr>
        <w:t>mobilised</w:t>
      </w:r>
      <w:proofErr w:type="spellEnd"/>
      <w:r w:rsidRPr="00F81137">
        <w:rPr>
          <w:rFonts w:ascii="Aptos" w:eastAsia="Times New Roman" w:hAnsi="Aptos" w:cs="Segoe UI"/>
          <w:color w:val="002060"/>
        </w:rPr>
        <w:t xml:space="preserve"> capital of approximately </w:t>
      </w:r>
      <w:proofErr w:type="spellStart"/>
      <w:r w:rsidRPr="00F81137">
        <w:rPr>
          <w:rFonts w:ascii="Aptos" w:eastAsia="Times New Roman" w:hAnsi="Aptos" w:cs="Segoe UI"/>
          <w:color w:val="002060"/>
        </w:rPr>
        <w:t>VNĐ5.1</w:t>
      </w:r>
      <w:proofErr w:type="spellEnd"/>
      <w:r w:rsidRPr="00F81137">
        <w:rPr>
          <w:rFonts w:ascii="Aptos" w:eastAsia="Times New Roman" w:hAnsi="Aptos" w:cs="Segoe UI"/>
          <w:color w:val="002060"/>
        </w:rPr>
        <w:t xml:space="preserve"> quadrillion (</w:t>
      </w:r>
      <w:proofErr w:type="spellStart"/>
      <w:r w:rsidRPr="00F81137">
        <w:rPr>
          <w:rFonts w:ascii="Aptos" w:eastAsia="Times New Roman" w:hAnsi="Aptos" w:cs="Segoe UI"/>
          <w:color w:val="002060"/>
        </w:rPr>
        <w:t>US$194</w:t>
      </w:r>
      <w:proofErr w:type="spellEnd"/>
      <w:r w:rsidRPr="00F81137">
        <w:rPr>
          <w:rFonts w:ascii="Aptos" w:eastAsia="Times New Roman" w:hAnsi="Aptos" w:cs="Segoe UI"/>
          <w:color w:val="002060"/>
        </w:rPr>
        <w:t xml:space="preserve"> billion). Of this, the private economic sector has contributed more than </w:t>
      </w:r>
      <w:proofErr w:type="spellStart"/>
      <w:r w:rsidRPr="00F81137">
        <w:rPr>
          <w:rFonts w:ascii="Aptos" w:eastAsia="Times New Roman" w:hAnsi="Aptos" w:cs="Segoe UI"/>
          <w:color w:val="002060"/>
        </w:rPr>
        <w:t>VNĐ3.8</w:t>
      </w:r>
      <w:proofErr w:type="spellEnd"/>
      <w:r w:rsidRPr="00F81137">
        <w:rPr>
          <w:rFonts w:ascii="Aptos" w:eastAsia="Times New Roman" w:hAnsi="Aptos" w:cs="Segoe UI"/>
          <w:color w:val="002060"/>
        </w:rPr>
        <w:t xml:space="preserve"> quadrillion, or 74.6 per cent of the total.</w:t>
      </w:r>
    </w:p>
    <w:p w14:paraId="1011846A" w14:textId="77777777" w:rsidR="00E7374B" w:rsidRPr="00F81137" w:rsidRDefault="00E7374B" w:rsidP="00E7374B">
      <w:pPr>
        <w:spacing w:after="450" w:line="288" w:lineRule="auto"/>
        <w:jc w:val="both"/>
        <w:rPr>
          <w:rFonts w:ascii="Aptos" w:eastAsia="Times New Roman" w:hAnsi="Aptos" w:cs="Segoe UI"/>
          <w:color w:val="002060"/>
        </w:rPr>
      </w:pPr>
      <w:r w:rsidRPr="00F81137">
        <w:rPr>
          <w:rFonts w:ascii="Aptos" w:eastAsia="Times New Roman" w:hAnsi="Aptos" w:cs="Segoe UI"/>
          <w:color w:val="002060"/>
        </w:rPr>
        <w:t xml:space="preserve">However, </w:t>
      </w:r>
      <w:proofErr w:type="spellStart"/>
      <w:r w:rsidRPr="00F81137">
        <w:rPr>
          <w:rFonts w:ascii="Aptos" w:eastAsia="Times New Roman" w:hAnsi="Aptos" w:cs="Segoe UI"/>
          <w:color w:val="002060"/>
        </w:rPr>
        <w:t>Hương</w:t>
      </w:r>
      <w:proofErr w:type="spellEnd"/>
      <w:r w:rsidRPr="00F81137">
        <w:rPr>
          <w:rFonts w:ascii="Aptos" w:eastAsia="Times New Roman" w:hAnsi="Aptos" w:cs="Segoe UI"/>
          <w:color w:val="002060"/>
        </w:rPr>
        <w:t xml:space="preserve"> noted that several bottlenecks and challenges remain in </w:t>
      </w:r>
      <w:proofErr w:type="spellStart"/>
      <w:r w:rsidRPr="00F81137">
        <w:rPr>
          <w:rFonts w:ascii="Aptos" w:eastAsia="Times New Roman" w:hAnsi="Aptos" w:cs="Segoe UI"/>
          <w:color w:val="002060"/>
        </w:rPr>
        <w:t>mobilising</w:t>
      </w:r>
      <w:proofErr w:type="spellEnd"/>
      <w:r w:rsidRPr="00F81137">
        <w:rPr>
          <w:rFonts w:ascii="Aptos" w:eastAsia="Times New Roman" w:hAnsi="Aptos" w:cs="Segoe UI"/>
          <w:color w:val="002060"/>
        </w:rPr>
        <w:t xml:space="preserve"> private capital for socio-economic development, particularly in the implementation of large-scale projects.</w:t>
      </w:r>
    </w:p>
    <w:p w14:paraId="0B119168" w14:textId="77777777" w:rsidR="00E7374B" w:rsidRPr="00F81137" w:rsidRDefault="00E7374B" w:rsidP="00E7374B">
      <w:pPr>
        <w:spacing w:after="450" w:line="288" w:lineRule="auto"/>
        <w:jc w:val="both"/>
        <w:rPr>
          <w:rFonts w:ascii="Aptos" w:eastAsia="Times New Roman" w:hAnsi="Aptos" w:cs="Segoe UI"/>
          <w:color w:val="002060"/>
        </w:rPr>
      </w:pPr>
      <w:r w:rsidRPr="00F81137">
        <w:rPr>
          <w:rFonts w:ascii="Aptos" w:eastAsia="Times New Roman" w:hAnsi="Aptos" w:cs="Segoe UI"/>
          <w:color w:val="002060"/>
        </w:rPr>
        <w:t xml:space="preserve">Overlapping administrative procedures, licensing requirements and inter-agency coordination have led to significant delays, higher costs and, in some cases, missed business opportunities. Meanwhile, between 98 per cent and 99 per cent of Vietnamese enterprises are micro-, small- or medium-sized. Large projects require substantial capital, yet most private firms remain </w:t>
      </w:r>
      <w:proofErr w:type="spellStart"/>
      <w:r w:rsidRPr="00F81137">
        <w:rPr>
          <w:rFonts w:ascii="Aptos" w:eastAsia="Times New Roman" w:hAnsi="Aptos" w:cs="Segoe UI"/>
          <w:color w:val="002060"/>
        </w:rPr>
        <w:t>undercapitalised</w:t>
      </w:r>
      <w:proofErr w:type="spellEnd"/>
      <w:r w:rsidRPr="00F81137">
        <w:rPr>
          <w:rFonts w:ascii="Aptos" w:eastAsia="Times New Roman" w:hAnsi="Aptos" w:cs="Segoe UI"/>
          <w:color w:val="002060"/>
        </w:rPr>
        <w:t>. A further challenge relates to contractual risks during implementation, which can adversely affect corporate cash flow.</w:t>
      </w:r>
    </w:p>
    <w:p w14:paraId="3C03ED6B" w14:textId="77777777" w:rsidR="00E7374B" w:rsidRPr="00F81137" w:rsidRDefault="00E7374B" w:rsidP="00E7374B">
      <w:pPr>
        <w:spacing w:after="450" w:line="288" w:lineRule="auto"/>
        <w:jc w:val="both"/>
        <w:rPr>
          <w:rFonts w:ascii="Aptos" w:eastAsia="Times New Roman" w:hAnsi="Aptos" w:cs="Segoe UI"/>
          <w:color w:val="002060"/>
        </w:rPr>
      </w:pPr>
      <w:r w:rsidRPr="00F81137">
        <w:rPr>
          <w:rFonts w:ascii="Aptos" w:eastAsia="Times New Roman" w:hAnsi="Aptos" w:cs="Segoe UI"/>
          <w:color w:val="002060"/>
        </w:rPr>
        <w:t>According to the official, to address these difficulties, in early 2026, the finance ministry advised the Government on the issuance of Resolution 01 on socio-economic development and Resolution 02 on improving the business environment and enhancing national competitiveness. The ministry has also proposed refinements to policies under the investment law, reductions in conditional business requirements, and amendments to the laws on bidding and PPP, with a view to diversifying and improving the effectiveness of public-private cooperation models.</w:t>
      </w:r>
    </w:p>
    <w:p w14:paraId="7DB7E2E8" w14:textId="77777777" w:rsidR="00E7374B" w:rsidRPr="00F81137" w:rsidRDefault="00E7374B" w:rsidP="00E7374B">
      <w:pPr>
        <w:spacing w:after="450" w:line="288" w:lineRule="auto"/>
        <w:jc w:val="both"/>
        <w:rPr>
          <w:rFonts w:ascii="Aptos" w:eastAsia="Times New Roman" w:hAnsi="Aptos" w:cs="Segoe UI"/>
          <w:color w:val="002060"/>
        </w:rPr>
      </w:pPr>
      <w:r w:rsidRPr="00F81137">
        <w:rPr>
          <w:rFonts w:ascii="Aptos" w:eastAsia="Times New Roman" w:hAnsi="Aptos" w:cs="Segoe UI"/>
          <w:color w:val="002060"/>
        </w:rPr>
        <w:t>Recently, the ministry submitted to the Government a draft decree detailing the implementation of several provisions of National Assembly Resolution 198/2025/</w:t>
      </w:r>
      <w:proofErr w:type="spellStart"/>
      <w:r w:rsidRPr="00F81137">
        <w:rPr>
          <w:rFonts w:ascii="Aptos" w:eastAsia="Times New Roman" w:hAnsi="Aptos" w:cs="Segoe UI"/>
          <w:color w:val="002060"/>
        </w:rPr>
        <w:t>QH15</w:t>
      </w:r>
      <w:proofErr w:type="spellEnd"/>
      <w:r w:rsidRPr="00F81137">
        <w:rPr>
          <w:rFonts w:ascii="Aptos" w:eastAsia="Times New Roman" w:hAnsi="Aptos" w:cs="Segoe UI"/>
          <w:color w:val="002060"/>
        </w:rPr>
        <w:t xml:space="preserve"> on special mechanisms and policies for private economic development. Under the proposal, eligible research and development (R&amp;D) expenses will be deductible at twice their actual cost for corporate income tax purposes, and enterprises will be allowed to allocate up to 20% of taxable income for R&amp;D investment.</w:t>
      </w:r>
    </w:p>
    <w:p w14:paraId="1288D199" w14:textId="77777777" w:rsidR="00E7374B" w:rsidRPr="00F81137" w:rsidRDefault="00E7374B" w:rsidP="00E7374B">
      <w:pPr>
        <w:spacing w:after="450" w:line="288" w:lineRule="auto"/>
        <w:jc w:val="both"/>
        <w:rPr>
          <w:rFonts w:ascii="Aptos" w:eastAsia="Times New Roman" w:hAnsi="Aptos" w:cs="Segoe UI"/>
          <w:color w:val="002060"/>
        </w:rPr>
      </w:pPr>
      <w:r w:rsidRPr="00F81137">
        <w:rPr>
          <w:rFonts w:ascii="Aptos" w:eastAsia="Times New Roman" w:hAnsi="Aptos" w:cs="Segoe UI"/>
          <w:color w:val="002060"/>
        </w:rPr>
        <w:t xml:space="preserve">In addition, the ministry has proposed two </w:t>
      </w:r>
      <w:proofErr w:type="spellStart"/>
      <w:r w:rsidRPr="00F81137">
        <w:rPr>
          <w:rFonts w:ascii="Aptos" w:eastAsia="Times New Roman" w:hAnsi="Aptos" w:cs="Segoe UI"/>
          <w:color w:val="002060"/>
        </w:rPr>
        <w:t>programmes</w:t>
      </w:r>
      <w:proofErr w:type="spellEnd"/>
      <w:r w:rsidRPr="00F81137">
        <w:rPr>
          <w:rFonts w:ascii="Aptos" w:eastAsia="Times New Roman" w:hAnsi="Aptos" w:cs="Segoe UI"/>
          <w:color w:val="002060"/>
        </w:rPr>
        <w:t xml:space="preserve"> to the Prime Minister: one to develop 1,000 pioneering enterprises, and another to train 10,000 chief executive officers for the sector.</w:t>
      </w:r>
    </w:p>
    <w:p w14:paraId="25DDA30A" w14:textId="77777777" w:rsidR="00E7374B" w:rsidRPr="00F81137" w:rsidRDefault="00E7374B" w:rsidP="00E7374B">
      <w:pPr>
        <w:spacing w:after="450" w:line="288" w:lineRule="auto"/>
        <w:jc w:val="both"/>
        <w:rPr>
          <w:rFonts w:ascii="Aptos" w:eastAsia="Times New Roman" w:hAnsi="Aptos" w:cs="Segoe UI"/>
          <w:color w:val="002060"/>
        </w:rPr>
      </w:pPr>
      <w:r w:rsidRPr="00F81137">
        <w:rPr>
          <w:rFonts w:ascii="Aptos" w:eastAsia="Times New Roman" w:hAnsi="Aptos" w:cs="Segoe UI"/>
          <w:color w:val="002060"/>
        </w:rPr>
        <w:t>The Government, along with ministries, sectors and local authorities, is currently intensifying efforts to reduce costs, administrative procedures and business conditions by 30 per cent each.</w:t>
      </w:r>
    </w:p>
    <w:p w14:paraId="42C482E9" w14:textId="77777777" w:rsidR="00E7374B" w:rsidRPr="00F81137" w:rsidRDefault="00E7374B" w:rsidP="00E7374B">
      <w:pPr>
        <w:spacing w:after="450" w:line="288" w:lineRule="auto"/>
        <w:jc w:val="both"/>
        <w:rPr>
          <w:rFonts w:ascii="Aptos" w:eastAsia="Times New Roman" w:hAnsi="Aptos" w:cs="Segoe UI"/>
          <w:color w:val="002060"/>
        </w:rPr>
      </w:pPr>
      <w:proofErr w:type="spellStart"/>
      <w:r w:rsidRPr="00F81137">
        <w:rPr>
          <w:rFonts w:ascii="Aptos" w:eastAsia="Times New Roman" w:hAnsi="Aptos" w:cs="Segoe UI"/>
          <w:color w:val="002060"/>
        </w:rPr>
        <w:t>Hương</w:t>
      </w:r>
      <w:proofErr w:type="spellEnd"/>
      <w:r w:rsidRPr="00F81137">
        <w:rPr>
          <w:rFonts w:ascii="Aptos" w:eastAsia="Times New Roman" w:hAnsi="Aptos" w:cs="Segoe UI"/>
          <w:color w:val="002060"/>
        </w:rPr>
        <w:t xml:space="preserve"> said another key solution that requires stronger implementation </w:t>
      </w:r>
      <w:proofErr w:type="gramStart"/>
      <w:r w:rsidRPr="00F81137">
        <w:rPr>
          <w:rFonts w:ascii="Aptos" w:eastAsia="Times New Roman" w:hAnsi="Aptos" w:cs="Segoe UI"/>
          <w:color w:val="002060"/>
        </w:rPr>
        <w:t>in the near future</w:t>
      </w:r>
      <w:proofErr w:type="gramEnd"/>
      <w:r w:rsidRPr="00F81137">
        <w:rPr>
          <w:rFonts w:ascii="Aptos" w:eastAsia="Times New Roman" w:hAnsi="Aptos" w:cs="Segoe UI"/>
          <w:color w:val="002060"/>
        </w:rPr>
        <w:t xml:space="preserve"> is enhancing the capacity of local administrations, particularly at the commune level, in order to foster a more enabling business environment for the sector. </w:t>
      </w:r>
    </w:p>
    <w:p w14:paraId="4A02550F" w14:textId="77777777" w:rsidR="001D7544" w:rsidRDefault="009A69E6"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91104CF" w14:textId="77777777" w:rsidR="002A02C8" w:rsidRPr="004C6CBE" w:rsidRDefault="002A02C8" w:rsidP="00EA3310">
      <w:pPr>
        <w:pStyle w:val="Heading1"/>
        <w:rPr>
          <w:rFonts w:ascii="Aptos" w:eastAsia="Malgun Gothic" w:hAnsi="Aptos" w:cs="Times New Roman"/>
          <w:color w:val="002060"/>
        </w:rPr>
      </w:pPr>
      <w:bookmarkStart w:id="648" w:name="_Toc192767033"/>
      <w:bookmarkStart w:id="649" w:name="_Toc193361541"/>
      <w:bookmarkStart w:id="650" w:name="_Toc193977732"/>
      <w:bookmarkStart w:id="651" w:name="_Toc194671397"/>
      <w:bookmarkStart w:id="652" w:name="_Toc195192232"/>
      <w:bookmarkStart w:id="653" w:name="_Toc195795575"/>
      <w:bookmarkStart w:id="654" w:name="_Toc196395801"/>
      <w:bookmarkStart w:id="655" w:name="_Toc197596761"/>
      <w:bookmarkStart w:id="656" w:name="_Toc198210648"/>
      <w:bookmarkStart w:id="657" w:name="_Toc198816031"/>
      <w:bookmarkStart w:id="658" w:name="_Toc199419427"/>
      <w:bookmarkStart w:id="659" w:name="_Toc200013599"/>
      <w:bookmarkStart w:id="660" w:name="_Toc200628575"/>
      <w:bookmarkStart w:id="661" w:name="_Toc201837358"/>
      <w:bookmarkStart w:id="662" w:name="_Toc202445693"/>
      <w:bookmarkStart w:id="663" w:name="_Toc203047559"/>
      <w:bookmarkStart w:id="664" w:name="_Toc203655863"/>
      <w:bookmarkStart w:id="665" w:name="_Toc204262801"/>
      <w:bookmarkStart w:id="666" w:name="_Toc204862959"/>
      <w:bookmarkStart w:id="667" w:name="_Toc205466588"/>
      <w:bookmarkStart w:id="668" w:name="_Toc206074506"/>
      <w:bookmarkStart w:id="669" w:name="_Toc207184398"/>
      <w:bookmarkStart w:id="670" w:name="_Toc207888604"/>
      <w:bookmarkStart w:id="671" w:name="_Toc208493627"/>
      <w:bookmarkStart w:id="672"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73" w:name="_Toc209099449"/>
      <w:bookmarkStart w:id="674" w:name="_Toc209702677"/>
      <w:bookmarkStart w:id="675" w:name="_Toc210305241"/>
      <w:bookmarkStart w:id="676" w:name="_Toc210911919"/>
      <w:bookmarkStart w:id="677" w:name="_Toc210912011"/>
      <w:bookmarkStart w:id="678" w:name="_Toc211518242"/>
      <w:bookmarkStart w:id="679" w:name="_Toc212118923"/>
      <w:bookmarkStart w:id="680" w:name="_Toc212726918"/>
      <w:bookmarkStart w:id="681" w:name="_Toc213334254"/>
      <w:bookmarkStart w:id="682" w:name="_Toc213924603"/>
      <w:bookmarkStart w:id="683" w:name="_Toc214539945"/>
      <w:bookmarkStart w:id="684" w:name="_Toc215144380"/>
      <w:bookmarkStart w:id="685" w:name="_Toc215750958"/>
      <w:bookmarkStart w:id="686" w:name="_Toc216355054"/>
      <w:bookmarkStart w:id="687" w:name="_Toc216965802"/>
      <w:bookmarkStart w:id="688" w:name="_Toc217639126"/>
      <w:bookmarkStart w:id="689" w:name="_Toc218772677"/>
      <w:bookmarkStart w:id="690" w:name="_Toc219377440"/>
      <w:bookmarkStart w:id="691" w:name="_Toc219985599"/>
      <w:bookmarkStart w:id="692" w:name="_Toc220587258"/>
      <w:r w:rsidRPr="004C6CBE">
        <w:rPr>
          <w:rFonts w:ascii="Aptos" w:eastAsia="Malgun Gothic" w:hAnsi="Aptos" w:cs="Times New Roman"/>
          <w:color w:val="002060"/>
        </w:rPr>
        <w:t>INVESTMENT</w:t>
      </w:r>
      <w:bookmarkStart w:id="693" w:name="_Toc85726063"/>
      <w:bookmarkStart w:id="694" w:name="_Toc432151524"/>
      <w:bookmarkStart w:id="695" w:name="_Toc432755907"/>
      <w:bookmarkStart w:id="696" w:name="_Toc433361380"/>
      <w:bookmarkStart w:id="697" w:name="_Toc433965278"/>
      <w:bookmarkStart w:id="698" w:name="_Toc434571316"/>
      <w:bookmarkStart w:id="699" w:name="_Toc435172624"/>
      <w:bookmarkStart w:id="700" w:name="_Toc435779449"/>
      <w:bookmarkStart w:id="701" w:name="_Toc436380890"/>
      <w:bookmarkStart w:id="702" w:name="_Toc436991379"/>
      <w:bookmarkStart w:id="703" w:name="_Toc437595402"/>
      <w:bookmarkStart w:id="704" w:name="_Toc440013654"/>
      <w:bookmarkStart w:id="705" w:name="_Toc440621866"/>
      <w:bookmarkStart w:id="706" w:name="_Toc441223776"/>
      <w:bookmarkStart w:id="707" w:name="_Toc441828302"/>
      <w:bookmarkStart w:id="708" w:name="_Toc441828397"/>
      <w:bookmarkStart w:id="709" w:name="_Toc442344478"/>
      <w:bookmarkStart w:id="710" w:name="_Toc443643410"/>
      <w:bookmarkStart w:id="711" w:name="_Toc444246121"/>
      <w:bookmarkStart w:id="712" w:name="_Toc444852043"/>
      <w:bookmarkStart w:id="713" w:name="_Toc445456104"/>
      <w:bookmarkStart w:id="714" w:name="_Toc445973470"/>
      <w:bookmarkStart w:id="715" w:name="_Toc446664823"/>
      <w:bookmarkStart w:id="716" w:name="_Toc447269375"/>
      <w:bookmarkStart w:id="717" w:name="_Toc447874150"/>
      <w:bookmarkStart w:id="718" w:name="_Toc448482080"/>
      <w:bookmarkStart w:id="719" w:name="_Toc449082188"/>
      <w:bookmarkStart w:id="720" w:name="_Toc449689091"/>
      <w:bookmarkStart w:id="721" w:name="_Toc450293029"/>
      <w:bookmarkStart w:id="722" w:name="_Toc450896941"/>
      <w:bookmarkStart w:id="723" w:name="_Toc452625639"/>
      <w:bookmarkStart w:id="724" w:name="_Toc453317635"/>
      <w:bookmarkStart w:id="725" w:name="_Toc453921139"/>
      <w:bookmarkStart w:id="726" w:name="_Toc454525843"/>
      <w:bookmarkStart w:id="727" w:name="_Toc455664220"/>
      <w:bookmarkStart w:id="728" w:name="_Toc456342934"/>
      <w:bookmarkStart w:id="729" w:name="_Toc456948592"/>
      <w:bookmarkStart w:id="730" w:name="_Toc457551652"/>
      <w:bookmarkStart w:id="731" w:name="_Toc458760438"/>
      <w:bookmarkStart w:id="732" w:name="_Toc459970961"/>
      <w:bookmarkStart w:id="733" w:name="_Toc460493837"/>
      <w:bookmarkStart w:id="734" w:name="_Toc461091259"/>
      <w:bookmarkStart w:id="735" w:name="_Toc461785962"/>
      <w:bookmarkStart w:id="736" w:name="_Toc462393216"/>
      <w:bookmarkStart w:id="737" w:name="_Toc462996392"/>
      <w:bookmarkStart w:id="738" w:name="_Toc463600474"/>
      <w:bookmarkStart w:id="739" w:name="_Toc464205360"/>
      <w:bookmarkStart w:id="740" w:name="_Toc464808172"/>
      <w:bookmarkStart w:id="741" w:name="_Toc465341592"/>
      <w:bookmarkStart w:id="742" w:name="_Toc466017257"/>
      <w:bookmarkStart w:id="743" w:name="_Toc466625785"/>
      <w:bookmarkStart w:id="744" w:name="_Toc467231588"/>
      <w:bookmarkStart w:id="745" w:name="_Toc467832927"/>
      <w:bookmarkStart w:id="746" w:name="_Toc468440613"/>
      <w:bookmarkStart w:id="747" w:name="_Toc469043514"/>
      <w:bookmarkStart w:id="748" w:name="_Toc469650545"/>
      <w:bookmarkStart w:id="749" w:name="_Toc472071555"/>
      <w:bookmarkStart w:id="750" w:name="_Toc472672621"/>
      <w:bookmarkStart w:id="751" w:name="_Toc473881019"/>
      <w:bookmarkStart w:id="752" w:name="_Toc474487615"/>
      <w:bookmarkStart w:id="753" w:name="_Toc475090270"/>
      <w:bookmarkStart w:id="754" w:name="_Toc475697896"/>
      <w:bookmarkStart w:id="755" w:name="_Toc476302021"/>
      <w:bookmarkStart w:id="756" w:name="_Toc476906662"/>
      <w:bookmarkStart w:id="757" w:name="_Toc28949355"/>
      <w:bookmarkStart w:id="758" w:name="_Toc29553162"/>
      <w:bookmarkStart w:id="759" w:name="_Toc31365283"/>
      <w:bookmarkStart w:id="760" w:name="_Toc31968689"/>
      <w:bookmarkStart w:id="761" w:name="_Toc33177778"/>
      <w:bookmarkStart w:id="762" w:name="_Toc33784203"/>
      <w:bookmarkStart w:id="763" w:name="_Toc34387338"/>
      <w:bookmarkStart w:id="764" w:name="_Toc34992454"/>
      <w:bookmarkStart w:id="765" w:name="_Toc36200907"/>
      <w:bookmarkStart w:id="766" w:name="_Toc36804868"/>
      <w:bookmarkStart w:id="767" w:name="_Toc37412097"/>
      <w:bookmarkStart w:id="768" w:name="_Toc38016891"/>
      <w:bookmarkStart w:id="769" w:name="_Toc38623247"/>
      <w:bookmarkStart w:id="770" w:name="_Toc47007110"/>
      <w:bookmarkStart w:id="771" w:name="_Toc47608053"/>
      <w:bookmarkStart w:id="772" w:name="_Toc48219511"/>
      <w:bookmarkStart w:id="773" w:name="_Toc48816714"/>
      <w:bookmarkStart w:id="774" w:name="_Toc49427955"/>
      <w:bookmarkStart w:id="775" w:name="_Toc50027104"/>
      <w:bookmarkStart w:id="776" w:name="_Toc50638513"/>
      <w:bookmarkStart w:id="777" w:name="_Toc51235703"/>
      <w:bookmarkStart w:id="778" w:name="_Toc51848409"/>
      <w:bookmarkStart w:id="779" w:name="_Toc52453555"/>
      <w:bookmarkStart w:id="780" w:name="_Toc53055806"/>
      <w:bookmarkStart w:id="781" w:name="_Toc53660727"/>
      <w:bookmarkStart w:id="782" w:name="_Toc54259226"/>
      <w:bookmarkStart w:id="783" w:name="_Toc54865641"/>
      <w:bookmarkStart w:id="784" w:name="_Toc55477670"/>
      <w:bookmarkStart w:id="785" w:name="_Toc56073558"/>
      <w:bookmarkStart w:id="786" w:name="_Toc56678766"/>
      <w:bookmarkStart w:id="787" w:name="_Toc57284477"/>
      <w:bookmarkStart w:id="788" w:name="_Toc57895625"/>
      <w:bookmarkStart w:id="789" w:name="_Toc58494291"/>
      <w:bookmarkStart w:id="790" w:name="_Toc59104493"/>
      <w:bookmarkStart w:id="791" w:name="_Toc60922251"/>
      <w:bookmarkStart w:id="792" w:name="_Toc61518219"/>
      <w:bookmarkStart w:id="793" w:name="_Toc62129063"/>
      <w:bookmarkStart w:id="794" w:name="_Toc62734941"/>
      <w:bookmarkStart w:id="795" w:name="_Toc63333216"/>
      <w:bookmarkStart w:id="796" w:name="_Toc65152053"/>
      <w:bookmarkStart w:id="797" w:name="_Toc65759405"/>
      <w:bookmarkStart w:id="798" w:name="_Toc66363544"/>
      <w:bookmarkStart w:id="799" w:name="_Toc66960052"/>
      <w:bookmarkStart w:id="800" w:name="_Toc67652149"/>
      <w:bookmarkStart w:id="801" w:name="_Toc68179924"/>
      <w:bookmarkStart w:id="802" w:name="_Toc68774151"/>
      <w:bookmarkStart w:id="803" w:name="_Toc69386918"/>
      <w:bookmarkStart w:id="804" w:name="_Toc69991772"/>
      <w:bookmarkStart w:id="805" w:name="_Toc70509844"/>
      <w:bookmarkStart w:id="806" w:name="_Toc71207400"/>
      <w:bookmarkStart w:id="807" w:name="_Toc71799309"/>
      <w:bookmarkStart w:id="808" w:name="_Toc72414979"/>
      <w:bookmarkStart w:id="809" w:name="_Toc73015458"/>
      <w:bookmarkStart w:id="810" w:name="_Toc73618181"/>
      <w:bookmarkStart w:id="811" w:name="_Toc74224515"/>
      <w:bookmarkStart w:id="812" w:name="_Toc74836034"/>
      <w:bookmarkStart w:id="813" w:name="_Toc75439627"/>
      <w:bookmarkStart w:id="814" w:name="_Toc76033393"/>
      <w:bookmarkStart w:id="815" w:name="_Toc76568187"/>
      <w:bookmarkStart w:id="816" w:name="_Toc77249826"/>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4DFC1E7" w14:textId="77777777" w:rsidR="00606C5A" w:rsidRDefault="00606C5A" w:rsidP="00606C5A">
      <w:pPr>
        <w:spacing w:after="161" w:line="240" w:lineRule="auto"/>
        <w:outlineLvl w:val="0"/>
        <w:rPr>
          <w:rFonts w:ascii="Times New Roman" w:eastAsia="Times New Roman" w:hAnsi="Times New Roman" w:cs="Times New Roman"/>
          <w:color w:val="000000"/>
          <w:kern w:val="36"/>
          <w:sz w:val="45"/>
          <w:szCs w:val="45"/>
        </w:rPr>
      </w:pPr>
    </w:p>
    <w:p w14:paraId="4E607397" w14:textId="1FE0F9E6" w:rsidR="00606C5A" w:rsidRPr="00AE3070" w:rsidRDefault="00606C5A" w:rsidP="00606C5A">
      <w:pPr>
        <w:spacing w:after="161" w:line="240" w:lineRule="auto"/>
        <w:jc w:val="both"/>
        <w:outlineLvl w:val="0"/>
        <w:rPr>
          <w:rFonts w:ascii="Aptos" w:eastAsia="Times New Roman" w:hAnsi="Aptos" w:cs="Times New Roman"/>
          <w:b/>
          <w:bCs/>
          <w:color w:val="002060"/>
          <w:kern w:val="36"/>
          <w:sz w:val="24"/>
          <w:szCs w:val="24"/>
        </w:rPr>
      </w:pPr>
      <w:bookmarkStart w:id="817" w:name="_Toc220587259"/>
      <w:r w:rsidRPr="00AE3070">
        <w:rPr>
          <w:rFonts w:ascii="Aptos" w:eastAsia="Times New Roman" w:hAnsi="Aptos" w:cs="Times New Roman"/>
          <w:b/>
          <w:bCs/>
          <w:color w:val="002060"/>
          <w:kern w:val="36"/>
          <w:sz w:val="24"/>
          <w:szCs w:val="24"/>
        </w:rPr>
        <w:t>Sumitomo sets eyes on industrial infrastructure in Can Tho</w:t>
      </w:r>
      <w:bookmarkEnd w:id="817"/>
    </w:p>
    <w:p w14:paraId="13AA1D2E" w14:textId="03E5BF1A" w:rsidR="00606C5A" w:rsidRPr="00606C5A" w:rsidRDefault="00606C5A" w:rsidP="00606C5A">
      <w:pPr>
        <w:spacing w:after="150" w:line="300" w:lineRule="atLeast"/>
        <w:jc w:val="both"/>
        <w:rPr>
          <w:rFonts w:ascii="Aptos" w:eastAsia="Times New Roman" w:hAnsi="Aptos" w:cs="Times New Roman"/>
          <w:i/>
          <w:iCs/>
          <w:color w:val="002060"/>
          <w:sz w:val="18"/>
          <w:szCs w:val="18"/>
        </w:rPr>
      </w:pPr>
      <w:r w:rsidRPr="00606C5A">
        <w:rPr>
          <w:rFonts w:ascii="Aptos" w:eastAsia="Times New Roman" w:hAnsi="Aptos" w:cs="Times New Roman"/>
          <w:i/>
          <w:iCs/>
          <w:color w:val="002060"/>
          <w:sz w:val="18"/>
          <w:szCs w:val="18"/>
        </w:rPr>
        <w:t>VIR</w:t>
      </w:r>
    </w:p>
    <w:p w14:paraId="14DA11BD" w14:textId="77777777" w:rsidR="00606C5A" w:rsidRPr="00606C5A" w:rsidRDefault="00606C5A" w:rsidP="00606C5A">
      <w:pPr>
        <w:spacing w:after="150" w:line="300" w:lineRule="atLeast"/>
        <w:jc w:val="both"/>
        <w:rPr>
          <w:rFonts w:ascii="Aptos" w:eastAsia="Times New Roman" w:hAnsi="Aptos" w:cs="Times New Roman"/>
          <w:color w:val="002060"/>
        </w:rPr>
      </w:pPr>
    </w:p>
    <w:p w14:paraId="002E38F1" w14:textId="77777777" w:rsidR="00606C5A" w:rsidRPr="00606C5A" w:rsidRDefault="00606C5A" w:rsidP="00606C5A">
      <w:pPr>
        <w:spacing w:after="150" w:line="240" w:lineRule="auto"/>
        <w:jc w:val="both"/>
        <w:rPr>
          <w:rFonts w:ascii="Aptos" w:eastAsia="Times New Roman" w:hAnsi="Aptos" w:cs="Times New Roman"/>
          <w:color w:val="002060"/>
        </w:rPr>
      </w:pPr>
      <w:r w:rsidRPr="00606C5A">
        <w:rPr>
          <w:rFonts w:ascii="Aptos" w:eastAsia="Times New Roman" w:hAnsi="Aptos" w:cs="Times New Roman"/>
          <w:color w:val="002060"/>
        </w:rPr>
        <w:t>On January 27, leaders of Can Tho People’s Committee, together with relevant departments and agencies, held a working session with a delegation from Sumitomo Corporation to explore opportunities in development of industrial parks (IPs) in the area.</w:t>
      </w:r>
    </w:p>
    <w:p w14:paraId="74B6519A"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 xml:space="preserve">Chairman of Can Tho City People’s Committee Truong </w:t>
      </w:r>
      <w:proofErr w:type="spellStart"/>
      <w:r w:rsidRPr="00606C5A">
        <w:rPr>
          <w:rFonts w:ascii="Aptos" w:eastAsia="Times New Roman" w:hAnsi="Aptos" w:cs="Times New Roman"/>
          <w:color w:val="002060"/>
        </w:rPr>
        <w:t>Canh</w:t>
      </w:r>
      <w:proofErr w:type="spellEnd"/>
      <w:r w:rsidRPr="00606C5A">
        <w:rPr>
          <w:rFonts w:ascii="Aptos" w:eastAsia="Times New Roman" w:hAnsi="Aptos" w:cs="Times New Roman"/>
          <w:color w:val="002060"/>
        </w:rPr>
        <w:t xml:space="preserve"> Tuyen appreciated Sumitomo's interest in the investment environment in Can Tho in particular, noting that the meeting provided an important chance for both sides to exchange views and explore potential cooperation and investment opportunities in the coming period.</w:t>
      </w:r>
    </w:p>
    <w:p w14:paraId="11656C19"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Introducing the city’s potential and advantages, the chairman said that Can Tho is the economic, cultural, and sci-tech hub of the Mekong Delta. The city holds a strategically important position in transport, logistics and regional connectivity, with an increasingly well-developed transport and logistics infrastructure and a continuously improving investment and business environment, creating top conditions for both domestic and foreign investors.</w:t>
      </w:r>
    </w:p>
    <w:p w14:paraId="7AF0A4F7"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In recent years, cooperation between Can Tho and Japan has continued to expand through official development assistance, foreign-invested projects, trade, non-governmental aid, and partnerships across multiple sectors.</w:t>
      </w:r>
    </w:p>
    <w:p w14:paraId="7CF5862C"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Currently, the city hosts 124 foreign-led projects with a total registered capital of approximately $7.45 billion. Of these, Japan accounts for 13 projects with a total registered capital of around $1.65 billion, including notable projects such as the O Mon II thermal power plant and AEON Mall Can Tho.</w:t>
      </w:r>
    </w:p>
    <w:p w14:paraId="72293C4B"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Regarding the city’s investment attraction strategy, Chairman Tuyen said, "Can Tho places particular priority on high-quality, environmentally friendly investments that apply advanced technologies and align with sustainable development goals. These are also areas of strength for Japanese enterprises, including Sumitomo." He expressed confidence that the strengths and potential of both sides are highly complementary.</w:t>
      </w:r>
    </w:p>
    <w:p w14:paraId="32FB0242"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“The city is ready to facilitate discussions and create better conditions for Sumitomo to study and implement effective, long-term projects in Can Tho in areas of mutual interest, such as infrastructure development, IPs, logistics, clean energy and smart cities, especially IP infrastructure, which is a sector the corporation is currently exploring for investment in Can Tho," he stated.</w:t>
      </w:r>
    </w:p>
    <w:p w14:paraId="62925EF0" w14:textId="77777777" w:rsidR="00606C5A" w:rsidRPr="00606C5A" w:rsidRDefault="00606C5A" w:rsidP="00606C5A">
      <w:pPr>
        <w:spacing w:line="240" w:lineRule="auto"/>
        <w:jc w:val="both"/>
        <w:rPr>
          <w:rFonts w:ascii="Aptos" w:eastAsia="Times New Roman" w:hAnsi="Aptos" w:cs="Times New Roman"/>
          <w:color w:val="002060"/>
        </w:rPr>
      </w:pPr>
      <w:r w:rsidRPr="00606C5A">
        <w:rPr>
          <w:rFonts w:ascii="Aptos" w:eastAsia="Times New Roman" w:hAnsi="Aptos" w:cs="Times New Roman"/>
          <w:color w:val="002060"/>
        </w:rPr>
        <w:t>City leaders are committed to accompanying investors, providing timely support, and ensuring a transparent, stable investment environment with the most advantages possible.</w:t>
      </w:r>
    </w:p>
    <w:p w14:paraId="4B6198A1"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Eita Fujikawa, general director of Sumitomo Corporation Vietnam, said that in Japan, the group operates in areas such as IP infrastructure, energy and metro systems. In Vietnam, it has invested in several IPs in northern provinces, including three already in operation, one under construction, and one being developed in cooperation with another partner.</w:t>
      </w:r>
    </w:p>
    <w:p w14:paraId="7A29383E"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"Under the upcoming strategy, we plan to further expand IP development in southern provinces," he said.</w:t>
      </w:r>
    </w:p>
    <w:p w14:paraId="1A5FA7F9"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Highlighting Can Tho’s potential and advantages, such as its central location in the region, mild climate and relatively well-connected transport infrastructure, Fujikawa was interested in the investment areas proposed by the city, especially IP infrastructure development.</w:t>
      </w:r>
    </w:p>
    <w:p w14:paraId="62BBC243"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lastRenderedPageBreak/>
        <w:t>"I hope that the meeting would help Sumitomo gain a clearer understanding of the local investment environment, paving the way for concrete decisions," he said.</w:t>
      </w:r>
    </w:p>
    <w:p w14:paraId="58187721"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Following the meeting, Can Tho Export Processing and Industrial Zones Management Authority will guide the Sumitomo Corporation delegation on site visits and field surveys at planned IP locations being promoted for investment in the city.</w:t>
      </w:r>
    </w:p>
    <w:p w14:paraId="3D9F1151" w14:textId="77777777" w:rsidR="00606C5A" w:rsidRPr="00606C5A" w:rsidRDefault="00606C5A" w:rsidP="00606C5A">
      <w:pPr>
        <w:spacing w:after="225" w:line="240" w:lineRule="auto"/>
        <w:jc w:val="both"/>
        <w:rPr>
          <w:rFonts w:ascii="Aptos" w:eastAsia="Times New Roman" w:hAnsi="Aptos" w:cs="Times New Roman"/>
          <w:color w:val="002060"/>
        </w:rPr>
      </w:pPr>
      <w:r w:rsidRPr="00606C5A">
        <w:rPr>
          <w:rFonts w:ascii="Aptos" w:eastAsia="Times New Roman" w:hAnsi="Aptos" w:cs="Times New Roman"/>
          <w:color w:val="002060"/>
        </w:rPr>
        <w:t>Currently, Can Tho has 13 IPs, of which nine are in operation, while four are under infrastructure development.</w:t>
      </w:r>
    </w:p>
    <w:p w14:paraId="1A683296" w14:textId="77777777" w:rsidR="00606C5A" w:rsidRPr="00606C5A" w:rsidRDefault="00606C5A" w:rsidP="00606C5A">
      <w:pPr>
        <w:spacing w:line="240" w:lineRule="auto"/>
        <w:jc w:val="both"/>
        <w:rPr>
          <w:rFonts w:ascii="Aptos" w:eastAsia="Times New Roman" w:hAnsi="Aptos" w:cs="Times New Roman"/>
          <w:color w:val="002060"/>
        </w:rPr>
      </w:pPr>
      <w:r w:rsidRPr="00606C5A">
        <w:rPr>
          <w:rFonts w:ascii="Aptos" w:eastAsia="Times New Roman" w:hAnsi="Aptos" w:cs="Times New Roman"/>
          <w:color w:val="002060"/>
        </w:rPr>
        <w:t>Under the city’s IP development planning towards 2050, which is actively calling for investor participation, Can Tho plans to develop 15 new IPs during the 2026-2030 period, and a further 12 IPs during 2031-2050.</w:t>
      </w:r>
    </w:p>
    <w:p w14:paraId="08CC7285" w14:textId="77777777" w:rsidR="00791635" w:rsidRPr="00606C5A" w:rsidRDefault="00791635" w:rsidP="00606C5A">
      <w:pPr>
        <w:jc w:val="both"/>
        <w:rPr>
          <w:rFonts w:ascii="Aptos" w:hAnsi="Aptos"/>
          <w:b/>
          <w:bCs/>
          <w:color w:val="002060"/>
        </w:rPr>
      </w:pPr>
    </w:p>
    <w:p w14:paraId="7983782B" w14:textId="77777777" w:rsidR="00791635" w:rsidRPr="00791635" w:rsidRDefault="00791635" w:rsidP="00791635">
      <w:pPr>
        <w:spacing w:after="0" w:line="300" w:lineRule="auto"/>
        <w:jc w:val="both"/>
        <w:rPr>
          <w:rFonts w:ascii="Aptos" w:hAnsi="Aptos"/>
          <w:color w:val="002060"/>
        </w:rPr>
      </w:pPr>
    </w:p>
    <w:p w14:paraId="62CEC4E6" w14:textId="77777777" w:rsidR="00791635" w:rsidRDefault="009A69E6" w:rsidP="00791635">
      <w:pPr>
        <w:spacing w:line="288" w:lineRule="auto"/>
        <w:jc w:val="right"/>
        <w:rPr>
          <w:rStyle w:val="Hyperlink"/>
          <w:rFonts w:ascii="Aptos" w:eastAsia="Malgun Gothic" w:hAnsi="Aptos" w:cs="Times New Roman"/>
          <w:color w:val="002060"/>
        </w:rPr>
      </w:pPr>
      <w:hyperlink w:anchor="_top" w:history="1">
        <w:r w:rsidR="00791635" w:rsidRPr="004C6CBE">
          <w:rPr>
            <w:rStyle w:val="Hyperlink"/>
            <w:rFonts w:ascii="Aptos" w:eastAsia="Malgun Gothic" w:hAnsi="Aptos" w:cs="Times New Roman"/>
            <w:color w:val="002060"/>
          </w:rPr>
          <w:t>Back to Top</w:t>
        </w:r>
      </w:hyperlink>
    </w:p>
    <w:p w14:paraId="60158F14" w14:textId="77777777" w:rsidR="006B37BA" w:rsidRPr="00DE4AAB" w:rsidRDefault="006B37BA" w:rsidP="00DE4AAB">
      <w:pPr>
        <w:pStyle w:val="Heading2"/>
        <w:rPr>
          <w:rFonts w:ascii="Times New Roman" w:eastAsia="Times New Roman" w:hAnsi="Times New Roman" w:cs="Times New Roman"/>
          <w:color w:val="000000"/>
          <w:kern w:val="36"/>
          <w:sz w:val="45"/>
          <w:szCs w:val="45"/>
        </w:rPr>
      </w:pPr>
    </w:p>
    <w:p w14:paraId="39ACAD19" w14:textId="209038CC" w:rsidR="006B37BA" w:rsidRPr="006B37BA" w:rsidRDefault="006B37BA" w:rsidP="00DE4AAB">
      <w:pPr>
        <w:pStyle w:val="Heading2"/>
        <w:rPr>
          <w:rFonts w:ascii="Aptos" w:eastAsia="Times New Roman" w:hAnsi="Aptos" w:cs="Times New Roman"/>
          <w:color w:val="002060"/>
          <w:kern w:val="36"/>
          <w:sz w:val="28"/>
          <w:szCs w:val="28"/>
        </w:rPr>
      </w:pPr>
      <w:bookmarkStart w:id="818" w:name="_Toc220587260"/>
      <w:r w:rsidRPr="006B37BA">
        <w:rPr>
          <w:rFonts w:ascii="Aptos" w:eastAsia="Times New Roman" w:hAnsi="Aptos" w:cs="Times New Roman"/>
          <w:color w:val="002060"/>
          <w:kern w:val="36"/>
          <w:sz w:val="28"/>
          <w:szCs w:val="28"/>
        </w:rPr>
        <w:t>SHIFT project launched to steer capital towards green growth</w:t>
      </w:r>
      <w:bookmarkEnd w:id="818"/>
    </w:p>
    <w:p w14:paraId="0787B8C2" w14:textId="712FDF22" w:rsidR="006B37BA" w:rsidRDefault="006B37BA" w:rsidP="006B37BA">
      <w:pPr>
        <w:spacing w:after="150" w:line="288" w:lineRule="auto"/>
        <w:jc w:val="both"/>
        <w:rPr>
          <w:rFonts w:ascii="Aptos" w:eastAsia="Times New Roman" w:hAnsi="Aptos" w:cs="Times New Roman"/>
          <w:i/>
          <w:iCs/>
          <w:color w:val="002060"/>
          <w:sz w:val="18"/>
          <w:szCs w:val="18"/>
        </w:rPr>
      </w:pPr>
      <w:r w:rsidRPr="006B37BA">
        <w:rPr>
          <w:rFonts w:ascii="Aptos" w:eastAsia="Times New Roman" w:hAnsi="Aptos" w:cs="Times New Roman"/>
          <w:i/>
          <w:iCs/>
          <w:color w:val="002060"/>
          <w:sz w:val="18"/>
          <w:szCs w:val="18"/>
        </w:rPr>
        <w:t>VIR</w:t>
      </w:r>
    </w:p>
    <w:p w14:paraId="385E1E3F" w14:textId="77777777" w:rsidR="006B37BA" w:rsidRPr="006B37BA" w:rsidRDefault="006B37BA" w:rsidP="006B37BA">
      <w:pPr>
        <w:spacing w:after="150" w:line="288" w:lineRule="auto"/>
        <w:jc w:val="both"/>
        <w:rPr>
          <w:rFonts w:ascii="Aptos" w:eastAsia="Times New Roman" w:hAnsi="Aptos" w:cs="Times New Roman"/>
          <w:i/>
          <w:iCs/>
          <w:color w:val="002060"/>
          <w:sz w:val="18"/>
          <w:szCs w:val="18"/>
        </w:rPr>
      </w:pPr>
    </w:p>
    <w:p w14:paraId="21F6C5BC" w14:textId="77777777" w:rsidR="006B37BA" w:rsidRPr="006B37BA" w:rsidRDefault="006B37BA" w:rsidP="006B37BA">
      <w:pPr>
        <w:spacing w:after="150"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A new </w:t>
      </w:r>
      <w:proofErr w:type="spellStart"/>
      <w:r w:rsidRPr="006B37BA">
        <w:rPr>
          <w:rFonts w:ascii="Aptos" w:eastAsia="Times New Roman" w:hAnsi="Aptos" w:cs="Times New Roman"/>
          <w:color w:val="002060"/>
        </w:rPr>
        <w:t>multipartner</w:t>
      </w:r>
      <w:proofErr w:type="spellEnd"/>
      <w:r w:rsidRPr="006B37BA">
        <w:rPr>
          <w:rFonts w:ascii="Aptos" w:eastAsia="Times New Roman" w:hAnsi="Aptos" w:cs="Times New Roman"/>
          <w:color w:val="002060"/>
        </w:rPr>
        <w:t xml:space="preserve"> initiative has been launched to channel investment flows towards green finance and low-emission growth.</w:t>
      </w:r>
    </w:p>
    <w:p w14:paraId="130C8A2D" w14:textId="77777777" w:rsidR="006B37BA" w:rsidRPr="006B37BA" w:rsidRDefault="006B37BA" w:rsidP="006B37BA">
      <w:pPr>
        <w:spacing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The Ministry of Finance rolled out the “Shifting Investment Flows towards Green Transformation” (SHIFT) project on January 27, with six international </w:t>
      </w:r>
      <w:proofErr w:type="spellStart"/>
      <w:r w:rsidRPr="006B37BA">
        <w:rPr>
          <w:rFonts w:ascii="Aptos" w:eastAsia="Times New Roman" w:hAnsi="Aptos" w:cs="Times New Roman"/>
          <w:color w:val="002060"/>
        </w:rPr>
        <w:t>organisations</w:t>
      </w:r>
      <w:proofErr w:type="spellEnd"/>
      <w:r w:rsidRPr="006B37BA">
        <w:rPr>
          <w:rFonts w:ascii="Aptos" w:eastAsia="Times New Roman" w:hAnsi="Aptos" w:cs="Times New Roman"/>
          <w:color w:val="002060"/>
        </w:rPr>
        <w:t xml:space="preserve"> taking part and coordination by the German Agency for International Cooperation (GIZ). The initiative is designed as a cooperation platform to promote green finance, support the energy transition, and accelerate low-emission development in Vietnam.</w:t>
      </w:r>
    </w:p>
    <w:p w14:paraId="6EB07495"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SHIFT targets key stakeholders including policymakers, financial institutions, and private enterprises, with a particular focus on small and medium-sized enterprises and women-led businesses. By improving access to green finance, the scheme aims to </w:t>
      </w:r>
      <w:proofErr w:type="spellStart"/>
      <w:r w:rsidRPr="006B37BA">
        <w:rPr>
          <w:rFonts w:ascii="Aptos" w:eastAsia="Times New Roman" w:hAnsi="Aptos" w:cs="Times New Roman"/>
          <w:color w:val="002060"/>
        </w:rPr>
        <w:t>mobilise</w:t>
      </w:r>
      <w:proofErr w:type="spellEnd"/>
      <w:r w:rsidRPr="006B37BA">
        <w:rPr>
          <w:rFonts w:ascii="Aptos" w:eastAsia="Times New Roman" w:hAnsi="Aptos" w:cs="Times New Roman"/>
          <w:color w:val="002060"/>
        </w:rPr>
        <w:t xml:space="preserve"> investment into climate-friendly solutions, thereby accelerating Vietnam’s transition towards a sustainable, climate-resilient economy.</w:t>
      </w:r>
    </w:p>
    <w:p w14:paraId="02757C43"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Vietnam is currently pursuing two long-term strategic objectives: becoming a high-income country by 2045 and achieving net-zero emissions by 2050. The government has clearly </w:t>
      </w:r>
      <w:proofErr w:type="spellStart"/>
      <w:r w:rsidRPr="006B37BA">
        <w:rPr>
          <w:rFonts w:ascii="Aptos" w:eastAsia="Times New Roman" w:hAnsi="Aptos" w:cs="Times New Roman"/>
          <w:color w:val="002060"/>
        </w:rPr>
        <w:t>recognised</w:t>
      </w:r>
      <w:proofErr w:type="spellEnd"/>
      <w:r w:rsidRPr="006B37BA">
        <w:rPr>
          <w:rFonts w:ascii="Aptos" w:eastAsia="Times New Roman" w:hAnsi="Aptos" w:cs="Times New Roman"/>
          <w:color w:val="002060"/>
        </w:rPr>
        <w:t xml:space="preserve"> that meeting these goals requires a new growth model, one that is more sustainable and </w:t>
      </w:r>
      <w:proofErr w:type="gramStart"/>
      <w:r w:rsidRPr="006B37BA">
        <w:rPr>
          <w:rFonts w:ascii="Aptos" w:eastAsia="Times New Roman" w:hAnsi="Aptos" w:cs="Times New Roman"/>
          <w:color w:val="002060"/>
        </w:rPr>
        <w:t>low-emission</w:t>
      </w:r>
      <w:proofErr w:type="gramEnd"/>
      <w:r w:rsidRPr="006B37BA">
        <w:rPr>
          <w:rFonts w:ascii="Aptos" w:eastAsia="Times New Roman" w:hAnsi="Aptos" w:cs="Times New Roman"/>
          <w:color w:val="002060"/>
        </w:rPr>
        <w:t xml:space="preserve">, with green finance as a central driving force. Against this backdrop, SHIFT is expected to help address major obstructions related to capital </w:t>
      </w:r>
      <w:proofErr w:type="spellStart"/>
      <w:r w:rsidRPr="006B37BA">
        <w:rPr>
          <w:rFonts w:ascii="Aptos" w:eastAsia="Times New Roman" w:hAnsi="Aptos" w:cs="Times New Roman"/>
          <w:color w:val="002060"/>
        </w:rPr>
        <w:t>mobilisation</w:t>
      </w:r>
      <w:proofErr w:type="spellEnd"/>
      <w:r w:rsidRPr="006B37BA">
        <w:rPr>
          <w:rFonts w:ascii="Aptos" w:eastAsia="Times New Roman" w:hAnsi="Aptos" w:cs="Times New Roman"/>
          <w:color w:val="002060"/>
        </w:rPr>
        <w:t>, investment frameworks and implementation capacity.</w:t>
      </w:r>
    </w:p>
    <w:p w14:paraId="702CBF53"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Implemented under Germany’s International Climate Initiative, SHIFT adopts a comprehensive approach that combines policy support, capacity building for the financial system, and the promotion of green investment models in the private sector. Its core focus is energy transition, alongside strengthening the capacity of key actors across the finance-energy ecosystem.</w:t>
      </w:r>
    </w:p>
    <w:p w14:paraId="7FB4BAB4"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One of </w:t>
      </w:r>
      <w:proofErr w:type="spellStart"/>
      <w:r w:rsidRPr="006B37BA">
        <w:rPr>
          <w:rFonts w:ascii="Aptos" w:eastAsia="Times New Roman" w:hAnsi="Aptos" w:cs="Times New Roman"/>
          <w:color w:val="002060"/>
        </w:rPr>
        <w:t>SHIFT’s</w:t>
      </w:r>
      <w:proofErr w:type="spellEnd"/>
      <w:r w:rsidRPr="006B37BA">
        <w:rPr>
          <w:rFonts w:ascii="Aptos" w:eastAsia="Times New Roman" w:hAnsi="Aptos" w:cs="Times New Roman"/>
          <w:color w:val="002060"/>
        </w:rPr>
        <w:t xml:space="preserve"> distinctive features is its effort to bridge the gap between two sectors that are both critical to sustainable development but have often operated with limited coordination: finance and energy. By identifying </w:t>
      </w:r>
      <w:r w:rsidRPr="006B37BA">
        <w:rPr>
          <w:rFonts w:ascii="Aptos" w:eastAsia="Times New Roman" w:hAnsi="Aptos" w:cs="Times New Roman"/>
          <w:color w:val="002060"/>
        </w:rPr>
        <w:lastRenderedPageBreak/>
        <w:t>investment needs, supporting banks in developing appropriate green financial products, and delivering targeted training activities for enterprises and policymakers, the project seeks to increase capital flows into clean energy and promote a just and sustainable transition.</w:t>
      </w:r>
    </w:p>
    <w:p w14:paraId="536B7D5B" w14:textId="77777777" w:rsidR="006B37BA" w:rsidRPr="006B37BA" w:rsidRDefault="006B37BA" w:rsidP="006B37BA">
      <w:pPr>
        <w:spacing w:line="288" w:lineRule="auto"/>
        <w:jc w:val="both"/>
        <w:rPr>
          <w:rFonts w:ascii="Aptos" w:eastAsia="Times New Roman" w:hAnsi="Aptos" w:cs="Times New Roman"/>
          <w:color w:val="002060"/>
        </w:rPr>
      </w:pPr>
      <w:r w:rsidRPr="006B37BA">
        <w:rPr>
          <w:rFonts w:ascii="Aptos" w:eastAsia="Times New Roman" w:hAnsi="Aptos" w:cs="Times New Roman"/>
          <w:color w:val="002060"/>
        </w:rPr>
        <w:t>In parallel, SHIFT places strong emphasis on enhancing connectivity and feedback among stakeholders. Within the project framework, enterprises, financial institutions and government agencies will work closely through dialogue platforms that encourage open exchange. These platforms are designed to enable stakeholders to share perspectives, contribute ideas and discuss policy directions, mechanisms and incentives for green investment. This approach is expected to help narrow the gap between policy design and practical implementation.</w:t>
      </w:r>
    </w:p>
    <w:p w14:paraId="567B0B5E"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SHIFT also aims to translate green ambitions into tangible investments by supporting enterprises in piloting, deploying, scaling up and replicating clean energy solutions. Priority is given to small and medium-sized enterprises and women-led businesses, which often face greater barriers in accessing long-term finance. Pilot models will help demonstrate the technical and commercial viability of green technologies, while strengthening confidence among financial institutions to accompany corporate clients in adopting more sustainable solutions.</w:t>
      </w:r>
    </w:p>
    <w:p w14:paraId="49700BCC"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Speaking at the launch, Chu Duc Lam, director general of the Department of Finance and Economics at the Ministry of Finance, stressed that green transition is not merely a slogan but a comprehensive transformation of growth models, technologies, energy structures and resource </w:t>
      </w:r>
      <w:proofErr w:type="spellStart"/>
      <w:r w:rsidRPr="006B37BA">
        <w:rPr>
          <w:rFonts w:ascii="Aptos" w:eastAsia="Times New Roman" w:hAnsi="Aptos" w:cs="Times New Roman"/>
          <w:color w:val="002060"/>
        </w:rPr>
        <w:t>mobilisation</w:t>
      </w:r>
      <w:proofErr w:type="spellEnd"/>
      <w:r w:rsidRPr="006B37BA">
        <w:rPr>
          <w:rFonts w:ascii="Aptos" w:eastAsia="Times New Roman" w:hAnsi="Aptos" w:cs="Times New Roman"/>
          <w:color w:val="002060"/>
        </w:rPr>
        <w:t>. The energy sector plays a pivotal role, requiring green investment and green finance to be deployed at sufficient scale to guide market development.</w:t>
      </w:r>
    </w:p>
    <w:p w14:paraId="6A816FD1"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Lam noted that over the next five years, Vietnam’s capital demand for energy transition and green transport could reach hundreds of billions of US dollars. Investment needs under Power Development Plan VIII for the 2026-2030 period alone exceed $100 billion, largely to be </w:t>
      </w:r>
      <w:proofErr w:type="spellStart"/>
      <w:r w:rsidRPr="006B37BA">
        <w:rPr>
          <w:rFonts w:ascii="Aptos" w:eastAsia="Times New Roman" w:hAnsi="Aptos" w:cs="Times New Roman"/>
          <w:color w:val="002060"/>
        </w:rPr>
        <w:t>mobilised</w:t>
      </w:r>
      <w:proofErr w:type="spellEnd"/>
      <w:r w:rsidRPr="006B37BA">
        <w:rPr>
          <w:rFonts w:ascii="Aptos" w:eastAsia="Times New Roman" w:hAnsi="Aptos" w:cs="Times New Roman"/>
          <w:color w:val="002060"/>
        </w:rPr>
        <w:t xml:space="preserve"> from the private sector and foreign sources.</w:t>
      </w:r>
    </w:p>
    <w:p w14:paraId="02AB958C"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“SHIFT provides a policy and technical cooperation platform that enables Vietnam to access international technologies, green finance standards and carbon market mechanisms, while demonstrating effective cooperation between Vietnam, the German government and development partners,” he said.</w:t>
      </w:r>
    </w:p>
    <w:p w14:paraId="0B94CF90"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From the banking sector’s perspective, Pham Thi Thanh Tung, deputy director general of the Credit Department for Economic Sectors at the State Bank of Vietnam, stated that green transition is an inevitable global </w:t>
      </w:r>
      <w:proofErr w:type="gramStart"/>
      <w:r w:rsidRPr="006B37BA">
        <w:rPr>
          <w:rFonts w:ascii="Aptos" w:eastAsia="Times New Roman" w:hAnsi="Aptos" w:cs="Times New Roman"/>
          <w:color w:val="002060"/>
        </w:rPr>
        <w:t>trend</w:t>
      </w:r>
      <w:proofErr w:type="gramEnd"/>
      <w:r w:rsidRPr="006B37BA">
        <w:rPr>
          <w:rFonts w:ascii="Aptos" w:eastAsia="Times New Roman" w:hAnsi="Aptos" w:cs="Times New Roman"/>
          <w:color w:val="002060"/>
        </w:rPr>
        <w:t xml:space="preserve"> and that Vietnam has proactively adjusted its development strategy towards sustainability, climate adaptation and its net-zero commitment. "Early results in green credit reflect positive changes in awareness and action across the banking system," she said.</w:t>
      </w:r>
    </w:p>
    <w:p w14:paraId="66EB8787"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As of December 31, 2025, outstanding green credit in Vietnam reached approximately VND 770 trillion ($30.5 billion), accounting for around 7-8 per cent of total system credit, with an average annual growth rate of over 20 per cent during the 2017-2025 period.</w:t>
      </w:r>
    </w:p>
    <w:p w14:paraId="74BB2A0F" w14:textId="77777777" w:rsidR="006B37BA" w:rsidRPr="006B37BA" w:rsidRDefault="006B37BA" w:rsidP="006B37BA">
      <w:pPr>
        <w:spacing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"SHIFT would play an important role in </w:t>
      </w:r>
      <w:proofErr w:type="spellStart"/>
      <w:r w:rsidRPr="006B37BA">
        <w:rPr>
          <w:rFonts w:ascii="Aptos" w:eastAsia="Times New Roman" w:hAnsi="Aptos" w:cs="Times New Roman"/>
          <w:color w:val="002060"/>
        </w:rPr>
        <w:t>mobilising</w:t>
      </w:r>
      <w:proofErr w:type="spellEnd"/>
      <w:r w:rsidRPr="006B37BA">
        <w:rPr>
          <w:rFonts w:ascii="Aptos" w:eastAsia="Times New Roman" w:hAnsi="Aptos" w:cs="Times New Roman"/>
          <w:color w:val="002060"/>
        </w:rPr>
        <w:t xml:space="preserve"> medium- and long-term capital, while supporting banks in enhancing their capacity to develop green credit products and climate-related financial reporting in line with international standards," she added.</w:t>
      </w:r>
    </w:p>
    <w:p w14:paraId="190183DD"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 xml:space="preserve">Representing the German side, Alexandra Westwood, counsellor for Economic Affairs and Development Cooperation at the German Embassy in Vietnam, said that SHIFT forms part of Germany’s International Climate Initiative, which has supported more than 1,000 projects across around 150 partner countries, with total funding </w:t>
      </w:r>
      <w:r w:rsidRPr="006B37BA">
        <w:rPr>
          <w:rFonts w:ascii="Aptos" w:eastAsia="Times New Roman" w:hAnsi="Aptos" w:cs="Times New Roman"/>
          <w:color w:val="002060"/>
        </w:rPr>
        <w:lastRenderedPageBreak/>
        <w:t>exceeding €7 billion ($8.3 billion). In Vietnam alone, Germany has supported 25 climate-related projects since 2008, with a combined value of more than €50 million ($59 million).</w:t>
      </w:r>
    </w:p>
    <w:p w14:paraId="6A2C77D2"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"SHIFT builds on more than five decades of diplomatic relations and three decades of economic cooperation between Germany and Vietnam, with a current focus on green investment and clean energy technologies," she said. "It will support national authorities through capacity building and reform processes, work with financial institutions to expand green finance, and assist enterprises in deploying innovative energy solutions."</w:t>
      </w:r>
    </w:p>
    <w:p w14:paraId="46FD9884" w14:textId="77777777" w:rsidR="006B37BA" w:rsidRPr="006B37BA" w:rsidRDefault="006B37BA" w:rsidP="006B37BA">
      <w:pPr>
        <w:spacing w:after="225" w:line="288" w:lineRule="auto"/>
        <w:jc w:val="both"/>
        <w:rPr>
          <w:rFonts w:ascii="Aptos" w:eastAsia="Times New Roman" w:hAnsi="Aptos" w:cs="Times New Roman"/>
          <w:color w:val="002060"/>
        </w:rPr>
      </w:pPr>
      <w:r w:rsidRPr="006B37BA">
        <w:rPr>
          <w:rFonts w:ascii="Aptos" w:eastAsia="Times New Roman" w:hAnsi="Aptos" w:cs="Times New Roman"/>
          <w:color w:val="002060"/>
        </w:rPr>
        <w:t>In the broader context, achieving Vietnam’s development goals for 2045 and 2050 will require an estimated $2.4 trillion in investment by 2050. In recent years, the country has strengthened its climate policy framework, expanded investment attraction efforts, accelerated renewable energy development and promoted a greener economy. Key milestones include the National Green Growth Strategy for 2021-2030 and the revised Power Development Plan VIII.</w:t>
      </w:r>
    </w:p>
    <w:p w14:paraId="09D0E902" w14:textId="77777777" w:rsidR="006B37BA" w:rsidRPr="006B37BA" w:rsidRDefault="006B37BA" w:rsidP="006B37BA">
      <w:pPr>
        <w:spacing w:line="288" w:lineRule="auto"/>
        <w:jc w:val="both"/>
        <w:rPr>
          <w:rFonts w:ascii="Aptos" w:eastAsia="Times New Roman" w:hAnsi="Aptos" w:cs="Times New Roman"/>
          <w:color w:val="002060"/>
        </w:rPr>
      </w:pPr>
      <w:r w:rsidRPr="006B37BA">
        <w:rPr>
          <w:rFonts w:ascii="Aptos" w:eastAsia="Times New Roman" w:hAnsi="Aptos" w:cs="Times New Roman"/>
          <w:color w:val="002060"/>
        </w:rPr>
        <w:t>Nevertheless, translating these strategies into concrete outcomes remains challenging, with a persistent gap between policy ambitions and on-the-ground implementation. In this context, SHIFT is expected to serve as a critical bridge, helping to refine green financial instruments, strengthen the capacity of financial institutions and enterprises, and ultimately support Vietnam’s green transition in a more effective, inclusive and sustainable manner.</w:t>
      </w:r>
    </w:p>
    <w:p w14:paraId="29BCD900" w14:textId="77777777" w:rsidR="00652432" w:rsidRDefault="00652432" w:rsidP="00791635">
      <w:pPr>
        <w:spacing w:line="288" w:lineRule="auto"/>
        <w:jc w:val="right"/>
        <w:rPr>
          <w:rStyle w:val="Hyperlink"/>
          <w:rFonts w:ascii="Aptos" w:eastAsia="Malgun Gothic" w:hAnsi="Aptos" w:cs="Times New Roman"/>
          <w:color w:val="002060"/>
        </w:rPr>
      </w:pPr>
    </w:p>
    <w:bookmarkStart w:id="819" w:name="_Toc194671400"/>
    <w:bookmarkStart w:id="820" w:name="_Toc195192236"/>
    <w:bookmarkStart w:id="821" w:name="_Toc195795578"/>
    <w:bookmarkStart w:id="822" w:name="_Toc196395805"/>
    <w:bookmarkStart w:id="823" w:name="_Toc197596764"/>
    <w:bookmarkStart w:id="824" w:name="_Toc198210652"/>
    <w:bookmarkStart w:id="825" w:name="_Toc463600478"/>
    <w:bookmarkStart w:id="826" w:name="_Toc464205364"/>
    <w:bookmarkStart w:id="827" w:name="_Toc464808177"/>
    <w:bookmarkStart w:id="828" w:name="_Toc465341597"/>
    <w:bookmarkStart w:id="829" w:name="_Toc466017262"/>
    <w:bookmarkStart w:id="830" w:name="_Toc466625790"/>
    <w:bookmarkStart w:id="831" w:name="_Toc467231593"/>
    <w:bookmarkStart w:id="832" w:name="_Toc467832931"/>
    <w:bookmarkStart w:id="833" w:name="_Toc468440618"/>
    <w:bookmarkStart w:id="834" w:name="_Toc469043519"/>
    <w:bookmarkStart w:id="835" w:name="_Toc469650550"/>
    <w:bookmarkStart w:id="836" w:name="_Toc472071560"/>
    <w:bookmarkStart w:id="837" w:name="_Toc472672626"/>
    <w:bookmarkStart w:id="838" w:name="_Toc473881024"/>
    <w:bookmarkStart w:id="839" w:name="_Toc474487619"/>
    <w:bookmarkStart w:id="840" w:name="_Toc475090275"/>
    <w:bookmarkStart w:id="841" w:name="_Toc475697901"/>
    <w:bookmarkStart w:id="842" w:name="_Toc476302026"/>
    <w:bookmarkStart w:id="843" w:name="_Toc476906667"/>
    <w:bookmarkStart w:id="844" w:name="_Toc477510757"/>
    <w:bookmarkStart w:id="845" w:name="_Toc478116129"/>
    <w:bookmarkStart w:id="846" w:name="_Toc478723302"/>
    <w:bookmarkStart w:id="847" w:name="_Toc479329721"/>
    <w:bookmarkStart w:id="848" w:name="_Toc479930335"/>
    <w:bookmarkStart w:id="849" w:name="_Toc480539779"/>
    <w:bookmarkStart w:id="850" w:name="_Toc481140005"/>
    <w:bookmarkStart w:id="851" w:name="_Toc482351765"/>
    <w:bookmarkStart w:id="852" w:name="_Toc482956642"/>
    <w:bookmarkStart w:id="853" w:name="_Toc484166274"/>
    <w:bookmarkStart w:id="854" w:name="_Toc484769044"/>
    <w:bookmarkStart w:id="855" w:name="_Toc485286973"/>
    <w:bookmarkStart w:id="856" w:name="_Toc485978057"/>
    <w:bookmarkStart w:id="857" w:name="_Toc486585208"/>
    <w:bookmarkStart w:id="858" w:name="_Toc487190859"/>
    <w:bookmarkStart w:id="859" w:name="_Toc487793137"/>
    <w:bookmarkStart w:id="860" w:name="_Toc488396115"/>
    <w:bookmarkStart w:id="861" w:name="_Toc489005367"/>
    <w:bookmarkStart w:id="862" w:name="_Toc489606931"/>
    <w:bookmarkStart w:id="863" w:name="_Toc490213913"/>
    <w:bookmarkStart w:id="864" w:name="_Toc490819138"/>
    <w:bookmarkStart w:id="865" w:name="_Toc491423502"/>
    <w:bookmarkStart w:id="866" w:name="_Toc492024950"/>
    <w:bookmarkStart w:id="867" w:name="_Toc492631844"/>
    <w:bookmarkStart w:id="868" w:name="_Toc493236274"/>
    <w:bookmarkStart w:id="869" w:name="_Toc493837679"/>
    <w:bookmarkStart w:id="870" w:name="_Toc495050086"/>
    <w:bookmarkStart w:id="871" w:name="_Toc495652591"/>
    <w:bookmarkStart w:id="872" w:name="_Toc496261443"/>
    <w:bookmarkStart w:id="873" w:name="_Toc496867238"/>
    <w:bookmarkStart w:id="874" w:name="_Toc497465801"/>
    <w:bookmarkStart w:id="875" w:name="_Toc498081902"/>
    <w:bookmarkStart w:id="876" w:name="_Toc498682160"/>
    <w:bookmarkStart w:id="877" w:name="_Toc499287557"/>
    <w:bookmarkStart w:id="878" w:name="_Toc499891999"/>
    <w:bookmarkStart w:id="879" w:name="_Toc500496799"/>
    <w:bookmarkStart w:id="880" w:name="_Toc501099743"/>
    <w:bookmarkStart w:id="881" w:name="_Toc501705026"/>
    <w:bookmarkStart w:id="882" w:name="_Toc532560727"/>
    <w:bookmarkStart w:id="883" w:name="_Toc533156853"/>
    <w:bookmarkStart w:id="884" w:name="_Toc533775406"/>
    <w:bookmarkStart w:id="885" w:name="_Toc534372214"/>
    <w:bookmarkStart w:id="886" w:name="_Toc534972014"/>
    <w:bookmarkStart w:id="887" w:name="_Toc535582786"/>
    <w:bookmarkStart w:id="888" w:name="_Toc536187108"/>
    <w:bookmarkStart w:id="889" w:name="_Toc536785396"/>
    <w:bookmarkStart w:id="890" w:name="_Toc1130214"/>
    <w:bookmarkStart w:id="891" w:name="_Toc1727990"/>
    <w:bookmarkStart w:id="892" w:name="_Toc2333101"/>
    <w:bookmarkStart w:id="893" w:name="_Toc2937890"/>
    <w:bookmarkStart w:id="894" w:name="_Toc3543100"/>
    <w:bookmarkStart w:id="895" w:name="_Toc4146395"/>
    <w:bookmarkStart w:id="896" w:name="_Toc4758763"/>
    <w:bookmarkStart w:id="897" w:name="_Toc5357731"/>
    <w:bookmarkStart w:id="898" w:name="_Toc5961968"/>
    <w:bookmarkStart w:id="899" w:name="_Toc6565244"/>
    <w:bookmarkStart w:id="900" w:name="_Toc7172948"/>
    <w:bookmarkStart w:id="901" w:name="_Toc7776795"/>
    <w:bookmarkStart w:id="902" w:name="_Toc8385543"/>
    <w:bookmarkStart w:id="903" w:name="_Toc8986694"/>
    <w:bookmarkStart w:id="904" w:name="_Toc9591448"/>
    <w:bookmarkStart w:id="905" w:name="_Toc10800783"/>
    <w:bookmarkStart w:id="906" w:name="_Toc11403503"/>
    <w:bookmarkStart w:id="907" w:name="_Toc12010889"/>
    <w:bookmarkStart w:id="908" w:name="_Toc12614888"/>
    <w:bookmarkStart w:id="909" w:name="_Toc13219390"/>
    <w:bookmarkStart w:id="910" w:name="_Toc13830741"/>
    <w:bookmarkStart w:id="911" w:name="_Toc14429416"/>
    <w:bookmarkStart w:id="912" w:name="_Toc15034925"/>
    <w:bookmarkStart w:id="913" w:name="_Toc15638242"/>
    <w:bookmarkStart w:id="914" w:name="_Toc16243824"/>
    <w:bookmarkStart w:id="915" w:name="_Toc17453996"/>
    <w:bookmarkStart w:id="916" w:name="_Toc18058964"/>
    <w:bookmarkStart w:id="917" w:name="_Toc18664192"/>
    <w:bookmarkStart w:id="918" w:name="_Toc19268596"/>
    <w:bookmarkStart w:id="919" w:name="_Toc19868202"/>
    <w:bookmarkStart w:id="920" w:name="_Toc20476484"/>
    <w:bookmarkStart w:id="921" w:name="_Toc21082718"/>
    <w:bookmarkStart w:id="922" w:name="_Toc21596850"/>
    <w:bookmarkStart w:id="923" w:name="_Toc22292250"/>
    <w:bookmarkStart w:id="924" w:name="_Toc22902075"/>
    <w:bookmarkStart w:id="925" w:name="_Toc23500788"/>
    <w:bookmarkStart w:id="926" w:name="_Toc24106272"/>
    <w:bookmarkStart w:id="927" w:name="_Toc24708421"/>
    <w:bookmarkStart w:id="928" w:name="_Toc25235416"/>
    <w:bookmarkStart w:id="929" w:name="_Toc25920246"/>
    <w:bookmarkStart w:id="930" w:name="_Toc26524523"/>
    <w:bookmarkStart w:id="931" w:name="_Toc27130360"/>
    <w:bookmarkStart w:id="932" w:name="_Toc28949359"/>
    <w:bookmarkStart w:id="933" w:name="_Toc29553166"/>
    <w:bookmarkStart w:id="934" w:name="_Toc31365286"/>
    <w:bookmarkStart w:id="935" w:name="_Toc31968693"/>
    <w:bookmarkStart w:id="936" w:name="_Toc33177783"/>
    <w:bookmarkStart w:id="937" w:name="_Toc33784207"/>
    <w:bookmarkStart w:id="938" w:name="_Toc34387343"/>
    <w:bookmarkStart w:id="939" w:name="_Toc34992458"/>
    <w:bookmarkStart w:id="940" w:name="_Toc36200910"/>
    <w:bookmarkStart w:id="941" w:name="_Toc36804871"/>
    <w:bookmarkStart w:id="942" w:name="_Toc37412100"/>
    <w:bookmarkStart w:id="943" w:name="_Toc38016894"/>
    <w:bookmarkStart w:id="944" w:name="_Toc38623250"/>
    <w:bookmarkStart w:id="945" w:name="_Toc47007114"/>
    <w:bookmarkStart w:id="946" w:name="_Toc47608057"/>
    <w:bookmarkStart w:id="947" w:name="_Toc48219516"/>
    <w:bookmarkStart w:id="948" w:name="_Toc48816719"/>
    <w:bookmarkStart w:id="949" w:name="_Toc49427958"/>
    <w:bookmarkStart w:id="950" w:name="_Toc50027108"/>
    <w:bookmarkStart w:id="951" w:name="_Toc50638516"/>
    <w:bookmarkStart w:id="952" w:name="_Toc51235723"/>
    <w:bookmarkStart w:id="953" w:name="_Toc51848412"/>
    <w:bookmarkStart w:id="954" w:name="_Toc52453558"/>
    <w:bookmarkStart w:id="955" w:name="_Toc53055809"/>
    <w:bookmarkStart w:id="956" w:name="_Toc53660731"/>
    <w:bookmarkStart w:id="957" w:name="_Toc54259231"/>
    <w:bookmarkStart w:id="958" w:name="_Toc54865648"/>
    <w:bookmarkStart w:id="959" w:name="_Toc55477675"/>
    <w:bookmarkStart w:id="960" w:name="_Toc56073562"/>
    <w:bookmarkStart w:id="961" w:name="_Toc56678769"/>
    <w:bookmarkStart w:id="962" w:name="_Toc57284480"/>
    <w:bookmarkStart w:id="963" w:name="_Toc57895630"/>
    <w:bookmarkStart w:id="964" w:name="_Toc58494294"/>
    <w:bookmarkStart w:id="965" w:name="_Toc59104496"/>
    <w:bookmarkStart w:id="966" w:name="_Toc60922256"/>
    <w:bookmarkStart w:id="967" w:name="_Toc61518222"/>
    <w:bookmarkStart w:id="968" w:name="_Toc62129066"/>
    <w:bookmarkStart w:id="969" w:name="_Toc62734944"/>
    <w:bookmarkStart w:id="970" w:name="_Toc63333219"/>
    <w:bookmarkStart w:id="971" w:name="_Toc65152056"/>
    <w:bookmarkStart w:id="972" w:name="_Toc65759412"/>
    <w:bookmarkStart w:id="973" w:name="_Toc66363552"/>
    <w:bookmarkStart w:id="974" w:name="_Toc66960055"/>
    <w:bookmarkStart w:id="975" w:name="_Toc67652153"/>
    <w:bookmarkStart w:id="976" w:name="_Toc68179927"/>
    <w:bookmarkStart w:id="977" w:name="_Toc68774156"/>
    <w:bookmarkStart w:id="978" w:name="_Toc69386922"/>
    <w:bookmarkStart w:id="979" w:name="_Toc69991775"/>
    <w:bookmarkStart w:id="980" w:name="_Toc70509847"/>
    <w:bookmarkStart w:id="981" w:name="_Toc71207403"/>
    <w:bookmarkStart w:id="982" w:name="_Toc71799314"/>
    <w:bookmarkStart w:id="983" w:name="_Toc72414983"/>
    <w:bookmarkStart w:id="984" w:name="_Toc73015461"/>
    <w:bookmarkStart w:id="985" w:name="_Toc73618184"/>
    <w:bookmarkStart w:id="986" w:name="_Toc74224519"/>
    <w:bookmarkStart w:id="987" w:name="_Toc74836038"/>
    <w:bookmarkStart w:id="988" w:name="_Toc75439630"/>
    <w:bookmarkStart w:id="989" w:name="_Toc76033397"/>
    <w:bookmarkStart w:id="990" w:name="_Toc76568190"/>
    <w:bookmarkStart w:id="991" w:name="_Toc77249830"/>
    <w:bookmarkStart w:id="992" w:name="_Toc77848125"/>
    <w:bookmarkStart w:id="993" w:name="_Toc78458420"/>
    <w:bookmarkStart w:id="994" w:name="_Toc79065743"/>
    <w:bookmarkStart w:id="995" w:name="_Toc79674836"/>
    <w:bookmarkStart w:id="996" w:name="_Toc80967359"/>
    <w:bookmarkStart w:id="997" w:name="_Toc82098811"/>
    <w:bookmarkStart w:id="998" w:name="_Toc82697213"/>
    <w:bookmarkStart w:id="999" w:name="_Toc83296675"/>
    <w:bookmarkStart w:id="1000" w:name="_Toc83896636"/>
    <w:bookmarkStart w:id="1001" w:name="_Toc84511081"/>
    <w:bookmarkStart w:id="1002" w:name="_Toc85126363"/>
    <w:bookmarkStart w:id="1003" w:name="_Toc85726072"/>
    <w:bookmarkStart w:id="1004" w:name="_Toc86326960"/>
    <w:bookmarkStart w:id="1005" w:name="_Toc86928734"/>
    <w:bookmarkStart w:id="1006" w:name="_Toc87533870"/>
    <w:bookmarkStart w:id="1007" w:name="_Toc88139984"/>
    <w:bookmarkStart w:id="1008" w:name="_Toc88827430"/>
    <w:bookmarkStart w:id="1009" w:name="_Toc89348607"/>
    <w:bookmarkStart w:id="1010" w:name="_Toc89954367"/>
    <w:bookmarkStart w:id="1011" w:name="_Toc90547137"/>
    <w:bookmarkStart w:id="1012" w:name="_Toc91162885"/>
    <w:bookmarkStart w:id="1013" w:name="_Toc92977897"/>
    <w:bookmarkStart w:id="1014" w:name="_Toc93582841"/>
    <w:bookmarkStart w:id="1015" w:name="_Toc94185887"/>
    <w:bookmarkStart w:id="1016" w:name="_Toc124758948"/>
    <w:bookmarkStart w:id="1017" w:name="_Toc126243204"/>
    <w:bookmarkStart w:id="1018" w:name="_Toc126844380"/>
    <w:bookmarkStart w:id="1019" w:name="_Toc127449241"/>
    <w:bookmarkStart w:id="1020" w:name="_Toc128057353"/>
    <w:bookmarkStart w:id="1021" w:name="_Toc128657904"/>
    <w:bookmarkStart w:id="1022" w:name="_Toc129265050"/>
    <w:bookmarkStart w:id="1023" w:name="_Toc129869294"/>
    <w:bookmarkStart w:id="1024" w:name="_Toc130472596"/>
    <w:bookmarkStart w:id="1025" w:name="_Toc131080434"/>
    <w:bookmarkStart w:id="1026" w:name="_Toc131684267"/>
    <w:bookmarkStart w:id="1027" w:name="_Toc132288745"/>
    <w:bookmarkStart w:id="1028" w:name="_Toc132880400"/>
    <w:bookmarkStart w:id="1029" w:name="_Toc133498220"/>
    <w:bookmarkStart w:id="1030" w:name="_Toc134108014"/>
    <w:bookmarkStart w:id="1031" w:name="_Toc134709557"/>
    <w:bookmarkStart w:id="1032" w:name="_Toc134709708"/>
    <w:bookmarkStart w:id="1033" w:name="_Toc135315977"/>
    <w:bookmarkStart w:id="1034" w:name="_Toc135915566"/>
    <w:bookmarkStart w:id="1035" w:name="_Toc136526496"/>
    <w:bookmarkStart w:id="1036" w:name="_Toc137126054"/>
    <w:bookmarkStart w:id="1037" w:name="_Toc137733679"/>
    <w:bookmarkStart w:id="1038" w:name="_Toc138336645"/>
    <w:bookmarkStart w:id="1039" w:name="_Toc138940632"/>
    <w:bookmarkStart w:id="1040" w:name="_Toc139544026"/>
    <w:bookmarkStart w:id="1041" w:name="_Toc140151837"/>
    <w:bookmarkStart w:id="1042" w:name="_Toc140757914"/>
    <w:bookmarkStart w:id="1043" w:name="_Toc141359491"/>
    <w:bookmarkStart w:id="1044" w:name="_Toc141965603"/>
    <w:bookmarkStart w:id="1045" w:name="_Toc142569952"/>
    <w:bookmarkStart w:id="1046" w:name="_Toc143175010"/>
    <w:bookmarkStart w:id="1047" w:name="_Toc143779707"/>
    <w:bookmarkStart w:id="1048" w:name="_Toc144384336"/>
    <w:bookmarkStart w:id="1049" w:name="_Toc144991148"/>
    <w:bookmarkStart w:id="1050" w:name="_Toc145601276"/>
    <w:bookmarkStart w:id="1051" w:name="_Toc146205298"/>
    <w:bookmarkStart w:id="1052" w:name="_Toc146808608"/>
    <w:bookmarkStart w:id="1053" w:name="_Toc147412066"/>
    <w:bookmarkStart w:id="1054" w:name="_Toc148007948"/>
    <w:bookmarkStart w:id="1055" w:name="_Toc148621880"/>
    <w:bookmarkStart w:id="1056" w:name="_Toc149228687"/>
    <w:bookmarkStart w:id="1057" w:name="_Toc149826963"/>
    <w:bookmarkStart w:id="1058" w:name="_Toc434571325"/>
    <w:bookmarkStart w:id="1059" w:name="_Toc435172631"/>
    <w:bookmarkStart w:id="1060" w:name="_Toc435779455"/>
    <w:bookmarkStart w:id="1061" w:name="_Toc436380895"/>
    <w:bookmarkStart w:id="1062" w:name="_Toc431546396"/>
    <w:bookmarkStart w:id="1063" w:name="_Toc432151538"/>
    <w:bookmarkStart w:id="1064" w:name="_Toc432755921"/>
    <w:bookmarkStart w:id="1065" w:name="_Toc4333613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0AF08887" w14:textId="77777777" w:rsidR="00652432" w:rsidRDefault="00652432" w:rsidP="00105440">
      <w:pPr>
        <w:pStyle w:val="Heading1"/>
        <w:shd w:val="clear" w:color="auto" w:fill="FFFFFF"/>
        <w:spacing w:before="0" w:line="288" w:lineRule="atLeast"/>
        <w:rPr>
          <w:rFonts w:ascii="Aptos" w:eastAsia="Malgun Gothic" w:hAnsi="Aptos" w:cs="Times New Roman"/>
          <w:color w:val="002060"/>
        </w:rPr>
      </w:pPr>
      <w:bookmarkStart w:id="1066" w:name="_Toc198816068"/>
      <w:bookmarkStart w:id="1067" w:name="_Toc199419430"/>
      <w:bookmarkStart w:id="1068" w:name="_Toc200013603"/>
      <w:bookmarkStart w:id="1069" w:name="_Toc200628579"/>
      <w:bookmarkStart w:id="1070" w:name="_Toc201837361"/>
      <w:bookmarkStart w:id="1071" w:name="_Toc202445696"/>
      <w:bookmarkStart w:id="1072" w:name="_Toc203047562"/>
      <w:bookmarkStart w:id="1073" w:name="_Toc203655866"/>
      <w:bookmarkStart w:id="1074" w:name="_Toc204262804"/>
      <w:bookmarkStart w:id="1075" w:name="_Toc204862963"/>
      <w:bookmarkStart w:id="1076" w:name="_Toc205466591"/>
      <w:bookmarkStart w:id="1077" w:name="_Toc206074509"/>
      <w:bookmarkStart w:id="1078" w:name="_Toc207184403"/>
      <w:bookmarkStart w:id="1079" w:name="_Toc207888607"/>
      <w:bookmarkStart w:id="1080" w:name="_Toc208493631"/>
      <w:bookmarkStart w:id="1081" w:name="_Toc208493709"/>
      <w:bookmarkStart w:id="1082" w:name="_Toc209099453"/>
      <w:bookmarkStart w:id="1083" w:name="_Toc209702680"/>
      <w:bookmarkStart w:id="1084" w:name="_Toc210305244"/>
      <w:bookmarkStart w:id="1085" w:name="_Toc210911922"/>
      <w:bookmarkStart w:id="1086" w:name="_Toc210912014"/>
      <w:bookmarkStart w:id="1087" w:name="_Toc211518245"/>
      <w:bookmarkStart w:id="1088" w:name="_Toc212118928"/>
      <w:bookmarkStart w:id="1089" w:name="_Toc212726921"/>
      <w:bookmarkStart w:id="1090" w:name="_Toc213334257"/>
      <w:bookmarkStart w:id="1091" w:name="_Toc213924606"/>
      <w:bookmarkStart w:id="1092" w:name="_Toc214539948"/>
      <w:bookmarkStart w:id="1093" w:name="_Toc215144383"/>
      <w:bookmarkStart w:id="1094" w:name="_Toc215750962"/>
      <w:bookmarkStart w:id="1095" w:name="_Toc216355057"/>
      <w:bookmarkStart w:id="1096" w:name="_Toc216965806"/>
      <w:bookmarkStart w:id="1097" w:name="_Toc217639130"/>
      <w:bookmarkStart w:id="1098" w:name="_Toc218772680"/>
      <w:bookmarkStart w:id="1099" w:name="_Toc219377445"/>
      <w:bookmarkStart w:id="1100" w:name="_Toc219985602"/>
    </w:p>
    <w:p w14:paraId="56C204B0" w14:textId="27DE019C" w:rsidR="00105440" w:rsidRDefault="00664BCE" w:rsidP="00105440">
      <w:pPr>
        <w:pStyle w:val="Heading1"/>
        <w:shd w:val="clear" w:color="auto" w:fill="FFFFFF"/>
        <w:spacing w:before="0" w:line="288" w:lineRule="atLeast"/>
        <w:rPr>
          <w:rFonts w:ascii="Aptos" w:eastAsia="Malgun Gothic" w:hAnsi="Aptos" w:cs="Times New Roman"/>
          <w:color w:val="002060"/>
        </w:rPr>
      </w:pPr>
      <w:bookmarkStart w:id="1101" w:name="_Toc220587261"/>
      <w:r w:rsidRPr="004C6CBE">
        <w:rPr>
          <w:rFonts w:ascii="Aptos" w:eastAsia="Malgun Gothic" w:hAnsi="Aptos" w:cs="Times New Roman"/>
          <w:color w:val="002060"/>
        </w:rPr>
        <w:t>PROPERTY</w:t>
      </w:r>
      <w:bookmarkEnd w:id="819"/>
      <w:bookmarkEnd w:id="820"/>
      <w:bookmarkEnd w:id="821"/>
      <w:bookmarkEnd w:id="822"/>
      <w:bookmarkEnd w:id="823"/>
      <w:bookmarkEnd w:id="824"/>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639A456C" w14:textId="77777777" w:rsidR="009D7BF1" w:rsidRDefault="009D7BF1" w:rsidP="009D7BF1">
      <w:pPr>
        <w:spacing w:after="161" w:line="240" w:lineRule="auto"/>
        <w:outlineLvl w:val="0"/>
        <w:rPr>
          <w:rFonts w:ascii="Times New Roman" w:eastAsia="Times New Roman" w:hAnsi="Times New Roman" w:cs="Times New Roman"/>
          <w:color w:val="000000"/>
          <w:kern w:val="36"/>
          <w:sz w:val="45"/>
          <w:szCs w:val="45"/>
        </w:rPr>
      </w:pPr>
    </w:p>
    <w:p w14:paraId="635F75A1" w14:textId="6D4AA49E" w:rsidR="009D7BF1" w:rsidRPr="00AE3070" w:rsidRDefault="009D7BF1" w:rsidP="009D7BF1">
      <w:pPr>
        <w:spacing w:after="161" w:line="240" w:lineRule="auto"/>
        <w:jc w:val="both"/>
        <w:outlineLvl w:val="0"/>
        <w:rPr>
          <w:rFonts w:ascii="Aptos" w:eastAsia="Times New Roman" w:hAnsi="Aptos" w:cs="Times New Roman"/>
          <w:b/>
          <w:bCs/>
          <w:color w:val="002060"/>
          <w:kern w:val="36"/>
          <w:sz w:val="24"/>
          <w:szCs w:val="24"/>
        </w:rPr>
      </w:pPr>
      <w:bookmarkStart w:id="1102" w:name="_Toc220587262"/>
      <w:r w:rsidRPr="00AE3070">
        <w:rPr>
          <w:rFonts w:ascii="Aptos" w:eastAsia="Times New Roman" w:hAnsi="Aptos" w:cs="Times New Roman"/>
          <w:b/>
          <w:bCs/>
          <w:color w:val="002060"/>
          <w:kern w:val="36"/>
          <w:sz w:val="24"/>
          <w:szCs w:val="24"/>
        </w:rPr>
        <w:t>Dong Nai experiences shifting expectations and new industrial cycle</w:t>
      </w:r>
      <w:bookmarkEnd w:id="1102"/>
    </w:p>
    <w:p w14:paraId="0B2ACFFF" w14:textId="19304EC5" w:rsidR="009D7BF1" w:rsidRDefault="009D7BF1" w:rsidP="009D7BF1">
      <w:pPr>
        <w:spacing w:after="150" w:line="300" w:lineRule="atLeast"/>
        <w:jc w:val="both"/>
        <w:rPr>
          <w:rFonts w:ascii="Aptos" w:eastAsia="Times New Roman" w:hAnsi="Aptos" w:cs="Times New Roman"/>
          <w:i/>
          <w:iCs/>
          <w:color w:val="002060"/>
          <w:sz w:val="18"/>
          <w:szCs w:val="18"/>
        </w:rPr>
      </w:pPr>
      <w:r w:rsidRPr="009D7BF1">
        <w:rPr>
          <w:rFonts w:ascii="Aptos" w:eastAsia="Times New Roman" w:hAnsi="Aptos" w:cs="Times New Roman"/>
          <w:i/>
          <w:iCs/>
          <w:color w:val="002060"/>
          <w:sz w:val="18"/>
          <w:szCs w:val="18"/>
        </w:rPr>
        <w:t>VIR</w:t>
      </w:r>
    </w:p>
    <w:p w14:paraId="4AC93458" w14:textId="77777777" w:rsidR="009D7BF1" w:rsidRPr="009D7BF1" w:rsidRDefault="009D7BF1" w:rsidP="009D7BF1">
      <w:pPr>
        <w:spacing w:after="150" w:line="300" w:lineRule="atLeast"/>
        <w:jc w:val="both"/>
        <w:rPr>
          <w:rFonts w:ascii="Aptos" w:eastAsia="Times New Roman" w:hAnsi="Aptos" w:cs="Times New Roman"/>
          <w:i/>
          <w:iCs/>
          <w:color w:val="002060"/>
          <w:sz w:val="18"/>
          <w:szCs w:val="18"/>
        </w:rPr>
      </w:pPr>
    </w:p>
    <w:p w14:paraId="047A1C4B" w14:textId="77777777" w:rsidR="009D7BF1" w:rsidRPr="009D7BF1" w:rsidRDefault="009D7BF1" w:rsidP="009D7BF1">
      <w:pPr>
        <w:spacing w:after="150" w:line="240" w:lineRule="auto"/>
        <w:jc w:val="both"/>
        <w:rPr>
          <w:rFonts w:ascii="Aptos" w:eastAsia="Times New Roman" w:hAnsi="Aptos" w:cs="Times New Roman"/>
          <w:color w:val="002060"/>
        </w:rPr>
      </w:pPr>
      <w:r w:rsidRPr="009D7BF1">
        <w:rPr>
          <w:rFonts w:ascii="Aptos" w:eastAsia="Times New Roman" w:hAnsi="Aptos" w:cs="Times New Roman"/>
          <w:color w:val="002060"/>
        </w:rPr>
        <w:t>Dong Nai is witnessing a significant shift in investment capital flows, as both domestic and foreign investors raise their expectations around technology, environmental performance, and operational efficiency.</w:t>
      </w:r>
    </w:p>
    <w:p w14:paraId="5B9C14A1"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This shift is pushing the industrial real estate market to adapt more rapidly, accelerating the development of ready-built warehouses and factories that meet international green and sustainability standards.</w:t>
      </w:r>
    </w:p>
    <w:p w14:paraId="0DD044D9"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Following the country’s administrative reform last year, the province has officially become home to the largest industrial park (IP) area in Vietnam. This expanded scale not only strengthens Dong Nai’s long-term development capacity but also enhances its attractiveness to multinational corporations and large-scale projects.</w:t>
      </w:r>
    </w:p>
    <w:p w14:paraId="09EE02F1"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According to Dong Nai Economic and Industrial Zones Management Authority (</w:t>
      </w:r>
      <w:proofErr w:type="spellStart"/>
      <w:r w:rsidRPr="009D7BF1">
        <w:rPr>
          <w:rFonts w:ascii="Aptos" w:eastAsia="Times New Roman" w:hAnsi="Aptos" w:cs="Times New Roman"/>
          <w:color w:val="002060"/>
        </w:rPr>
        <w:t>DNIEZA</w:t>
      </w:r>
      <w:proofErr w:type="spellEnd"/>
      <w:r w:rsidRPr="009D7BF1">
        <w:rPr>
          <w:rFonts w:ascii="Aptos" w:eastAsia="Times New Roman" w:hAnsi="Aptos" w:cs="Times New Roman"/>
          <w:color w:val="002060"/>
        </w:rPr>
        <w:t>), investment figures for 2025 reflect this momentum. The province attracted around $6.6 billion in domestic investment and over $3.3 billion in foreign direct investment (</w:t>
      </w:r>
      <w:proofErr w:type="spellStart"/>
      <w:r w:rsidRPr="009D7BF1">
        <w:rPr>
          <w:rFonts w:ascii="Aptos" w:eastAsia="Times New Roman" w:hAnsi="Aptos" w:cs="Times New Roman"/>
          <w:color w:val="002060"/>
        </w:rPr>
        <w:t>FDI</w:t>
      </w:r>
      <w:proofErr w:type="spellEnd"/>
      <w:r w:rsidRPr="009D7BF1">
        <w:rPr>
          <w:rFonts w:ascii="Aptos" w:eastAsia="Times New Roman" w:hAnsi="Aptos" w:cs="Times New Roman"/>
          <w:color w:val="002060"/>
        </w:rPr>
        <w:t xml:space="preserve">), significantly exceeding annual targets. Notably, IPs alone accounted for over $2.7 billion in </w:t>
      </w:r>
      <w:proofErr w:type="spellStart"/>
      <w:r w:rsidRPr="009D7BF1">
        <w:rPr>
          <w:rFonts w:ascii="Aptos" w:eastAsia="Times New Roman" w:hAnsi="Aptos" w:cs="Times New Roman"/>
          <w:color w:val="002060"/>
        </w:rPr>
        <w:t>FDI</w:t>
      </w:r>
      <w:proofErr w:type="spellEnd"/>
      <w:r w:rsidRPr="009D7BF1">
        <w:rPr>
          <w:rFonts w:ascii="Aptos" w:eastAsia="Times New Roman" w:hAnsi="Aptos" w:cs="Times New Roman"/>
          <w:color w:val="002060"/>
        </w:rPr>
        <w:t>, exceeding the planned figure by more than 144 per cent.</w:t>
      </w:r>
    </w:p>
    <w:p w14:paraId="0AF37D51" w14:textId="77777777" w:rsidR="009D7BF1" w:rsidRPr="009D7BF1" w:rsidRDefault="009D7BF1" w:rsidP="009D7BF1">
      <w:pPr>
        <w:spacing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Beyond investment volume, a notable shift in investment quality has also emerged. According to representatives of the </w:t>
      </w:r>
      <w:proofErr w:type="spellStart"/>
      <w:r w:rsidRPr="009D7BF1">
        <w:rPr>
          <w:rFonts w:ascii="Aptos" w:eastAsia="Times New Roman" w:hAnsi="Aptos" w:cs="Times New Roman"/>
          <w:color w:val="002060"/>
        </w:rPr>
        <w:t>DNIEZA</w:t>
      </w:r>
      <w:proofErr w:type="spellEnd"/>
      <w:r w:rsidRPr="009D7BF1">
        <w:rPr>
          <w:rFonts w:ascii="Aptos" w:eastAsia="Times New Roman" w:hAnsi="Aptos" w:cs="Times New Roman"/>
          <w:color w:val="002060"/>
        </w:rPr>
        <w:t xml:space="preserve">, recent </w:t>
      </w:r>
      <w:proofErr w:type="spellStart"/>
      <w:r w:rsidRPr="009D7BF1">
        <w:rPr>
          <w:rFonts w:ascii="Aptos" w:eastAsia="Times New Roman" w:hAnsi="Aptos" w:cs="Times New Roman"/>
          <w:color w:val="002060"/>
        </w:rPr>
        <w:t>FDI</w:t>
      </w:r>
      <w:proofErr w:type="spellEnd"/>
      <w:r w:rsidRPr="009D7BF1">
        <w:rPr>
          <w:rFonts w:ascii="Aptos" w:eastAsia="Times New Roman" w:hAnsi="Aptos" w:cs="Times New Roman"/>
          <w:color w:val="002060"/>
        </w:rPr>
        <w:t xml:space="preserve"> inflows have increasingly focused on high-tech manufacturing, supporting industries, smart </w:t>
      </w:r>
      <w:r w:rsidRPr="009D7BF1">
        <w:rPr>
          <w:rFonts w:ascii="Aptos" w:eastAsia="Times New Roman" w:hAnsi="Aptos" w:cs="Times New Roman"/>
          <w:color w:val="002060"/>
        </w:rPr>
        <w:lastRenderedPageBreak/>
        <w:t>logistics, and low environmental-risk projects, reflecting a gradual transition towards higher-value and more sustainable industrial development.</w:t>
      </w:r>
    </w:p>
    <w:p w14:paraId="60C415A1"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This direction aligns with Dong Nai’s long-standing development strategy, which </w:t>
      </w:r>
      <w:proofErr w:type="spellStart"/>
      <w:r w:rsidRPr="009D7BF1">
        <w:rPr>
          <w:rFonts w:ascii="Aptos" w:eastAsia="Times New Roman" w:hAnsi="Aptos" w:cs="Times New Roman"/>
          <w:color w:val="002060"/>
        </w:rPr>
        <w:t>prioritises</w:t>
      </w:r>
      <w:proofErr w:type="spellEnd"/>
      <w:r w:rsidRPr="009D7BF1">
        <w:rPr>
          <w:rFonts w:ascii="Aptos" w:eastAsia="Times New Roman" w:hAnsi="Aptos" w:cs="Times New Roman"/>
          <w:color w:val="002060"/>
        </w:rPr>
        <w:t xml:space="preserve"> green growth, modern infrastructure, and higher value creation.</w:t>
      </w:r>
    </w:p>
    <w:p w14:paraId="5D7EABE3"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As a result, new demands are emerging for the industrial real estate market. To meet the expectations of increasingly selective investors, industrial facilities must be planned in a more systematic manner, with greater attention to operational efficiency, environmental performance, and long-term compliance with international standards from the initial design and development stages.</w:t>
      </w:r>
    </w:p>
    <w:p w14:paraId="5F94FA9B"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To maintain its competitive edge and capture ongoing supply chain shifts, Vietnam’s industrial real estate market has seen a growing number of modern, high-specification infrastructure projects.</w:t>
      </w:r>
    </w:p>
    <w:p w14:paraId="715EEFA9"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Within this context, ready-built warehouse and factory models have attracted strong interest from foreign investors.</w:t>
      </w:r>
    </w:p>
    <w:p w14:paraId="621D210D"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By offering pre-designed, operationally ready facilities, these formats enable manufacturers to shorten deployment timelines and enter the market more efficiently, while reducing the risks and uncertainties typically associated with traditional construction.</w:t>
      </w:r>
    </w:p>
    <w:p w14:paraId="1289D6E7"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Importantly, the market is no longer driven solely by foreign developers. Domestic developers are also playing an increasingly active role, delivering well-invested projects that meet international operational and environmental benchmarks.</w:t>
      </w:r>
    </w:p>
    <w:p w14:paraId="4D0613F7"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One such example is the </w:t>
      </w:r>
      <w:proofErr w:type="spellStart"/>
      <w:r w:rsidRPr="009D7BF1">
        <w:rPr>
          <w:rFonts w:ascii="Aptos" w:eastAsia="Times New Roman" w:hAnsi="Aptos" w:cs="Times New Roman"/>
          <w:color w:val="002060"/>
        </w:rPr>
        <w:t>KCN</w:t>
      </w:r>
      <w:proofErr w:type="spellEnd"/>
      <w:r w:rsidRPr="009D7BF1">
        <w:rPr>
          <w:rFonts w:ascii="Aptos" w:eastAsia="Times New Roman" w:hAnsi="Aptos" w:cs="Times New Roman"/>
          <w:color w:val="002060"/>
        </w:rPr>
        <w:t xml:space="preserve"> Nhon Trach </w:t>
      </w:r>
      <w:proofErr w:type="spellStart"/>
      <w:r w:rsidRPr="009D7BF1">
        <w:rPr>
          <w:rFonts w:ascii="Aptos" w:eastAsia="Times New Roman" w:hAnsi="Aptos" w:cs="Times New Roman"/>
          <w:color w:val="002060"/>
        </w:rPr>
        <w:t>6D</w:t>
      </w:r>
      <w:proofErr w:type="spellEnd"/>
      <w:r w:rsidRPr="009D7BF1">
        <w:rPr>
          <w:rFonts w:ascii="Aptos" w:eastAsia="Times New Roman" w:hAnsi="Aptos" w:cs="Times New Roman"/>
          <w:color w:val="002060"/>
        </w:rPr>
        <w:t xml:space="preserve"> ready-built warehouse project, developed by </w:t>
      </w:r>
      <w:proofErr w:type="spellStart"/>
      <w:r w:rsidRPr="009D7BF1">
        <w:rPr>
          <w:rFonts w:ascii="Aptos" w:eastAsia="Times New Roman" w:hAnsi="Aptos" w:cs="Times New Roman"/>
          <w:color w:val="002060"/>
        </w:rPr>
        <w:t>KCN</w:t>
      </w:r>
      <w:proofErr w:type="spellEnd"/>
      <w:r w:rsidRPr="009D7BF1">
        <w:rPr>
          <w:rFonts w:ascii="Aptos" w:eastAsia="Times New Roman" w:hAnsi="Aptos" w:cs="Times New Roman"/>
          <w:color w:val="002060"/>
        </w:rPr>
        <w:t xml:space="preserve"> Vietnam.</w:t>
      </w:r>
    </w:p>
    <w:p w14:paraId="7D38BF79"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Covering approximately 14.5 hectares, the project </w:t>
      </w:r>
      <w:proofErr w:type="gramStart"/>
      <w:r w:rsidRPr="009D7BF1">
        <w:rPr>
          <w:rFonts w:ascii="Aptos" w:eastAsia="Times New Roman" w:hAnsi="Aptos" w:cs="Times New Roman"/>
          <w:color w:val="002060"/>
        </w:rPr>
        <w:t>is located in</w:t>
      </w:r>
      <w:proofErr w:type="gramEnd"/>
      <w:r w:rsidRPr="009D7BF1">
        <w:rPr>
          <w:rFonts w:ascii="Aptos" w:eastAsia="Times New Roman" w:hAnsi="Aptos" w:cs="Times New Roman"/>
          <w:color w:val="002060"/>
        </w:rPr>
        <w:t xml:space="preserve"> Dong Nai’s established industrial cluster and benefits from strong regional connectivity. Its proximity to Long Thanh International Airport, along with key southern seaports including Cat Lai Port, Hiep Phuoc Port, and Phuoc </w:t>
      </w:r>
      <w:proofErr w:type="gramStart"/>
      <w:r w:rsidRPr="009D7BF1">
        <w:rPr>
          <w:rFonts w:ascii="Aptos" w:eastAsia="Times New Roman" w:hAnsi="Aptos" w:cs="Times New Roman"/>
          <w:color w:val="002060"/>
        </w:rPr>
        <w:t>An</w:t>
      </w:r>
      <w:proofErr w:type="gramEnd"/>
      <w:r w:rsidRPr="009D7BF1">
        <w:rPr>
          <w:rFonts w:ascii="Aptos" w:eastAsia="Times New Roman" w:hAnsi="Aptos" w:cs="Times New Roman"/>
          <w:color w:val="002060"/>
        </w:rPr>
        <w:t xml:space="preserve"> Port, supports efficient access to major logistics corridors.</w:t>
      </w:r>
    </w:p>
    <w:p w14:paraId="05166F82" w14:textId="77777777" w:rsidR="009D7BF1" w:rsidRPr="009D7BF1" w:rsidRDefault="009D7BF1" w:rsidP="009D7BF1">
      <w:pPr>
        <w:spacing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These location advantages contribute to improved supply chain efficiency and help tenants manage transportation costs more effectively, particularly as manufacturers continue to </w:t>
      </w:r>
      <w:proofErr w:type="spellStart"/>
      <w:r w:rsidRPr="009D7BF1">
        <w:rPr>
          <w:rFonts w:ascii="Aptos" w:eastAsia="Times New Roman" w:hAnsi="Aptos" w:cs="Times New Roman"/>
          <w:color w:val="002060"/>
        </w:rPr>
        <w:t>optimise</w:t>
      </w:r>
      <w:proofErr w:type="spellEnd"/>
      <w:r w:rsidRPr="009D7BF1">
        <w:rPr>
          <w:rFonts w:ascii="Aptos" w:eastAsia="Times New Roman" w:hAnsi="Aptos" w:cs="Times New Roman"/>
          <w:color w:val="002060"/>
        </w:rPr>
        <w:t xml:space="preserve"> regional distribution networks.</w:t>
      </w:r>
    </w:p>
    <w:p w14:paraId="59AD7EBD"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Specifically, Nhon Trach </w:t>
      </w:r>
      <w:proofErr w:type="spellStart"/>
      <w:r w:rsidRPr="009D7BF1">
        <w:rPr>
          <w:rFonts w:ascii="Aptos" w:eastAsia="Times New Roman" w:hAnsi="Aptos" w:cs="Times New Roman"/>
          <w:color w:val="002060"/>
        </w:rPr>
        <w:t>6D</w:t>
      </w:r>
      <w:proofErr w:type="spellEnd"/>
      <w:r w:rsidRPr="009D7BF1">
        <w:rPr>
          <w:rFonts w:ascii="Aptos" w:eastAsia="Times New Roman" w:hAnsi="Aptos" w:cs="Times New Roman"/>
          <w:color w:val="002060"/>
        </w:rPr>
        <w:t xml:space="preserve"> has achieved LEED Gold certification, ensuring high energy efficiency and compliance with internationally </w:t>
      </w:r>
      <w:proofErr w:type="spellStart"/>
      <w:r w:rsidRPr="009D7BF1">
        <w:rPr>
          <w:rFonts w:ascii="Aptos" w:eastAsia="Times New Roman" w:hAnsi="Aptos" w:cs="Times New Roman"/>
          <w:color w:val="002060"/>
        </w:rPr>
        <w:t>recognised</w:t>
      </w:r>
      <w:proofErr w:type="spellEnd"/>
      <w:r w:rsidRPr="009D7BF1">
        <w:rPr>
          <w:rFonts w:ascii="Aptos" w:eastAsia="Times New Roman" w:hAnsi="Aptos" w:cs="Times New Roman"/>
          <w:color w:val="002060"/>
        </w:rPr>
        <w:t xml:space="preserve"> green building criteria.</w:t>
      </w:r>
    </w:p>
    <w:p w14:paraId="6FE3F27F"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For multinational corporations, locating production facilities within a LEED-certified development can help </w:t>
      </w:r>
      <w:proofErr w:type="spellStart"/>
      <w:r w:rsidRPr="009D7BF1">
        <w:rPr>
          <w:rFonts w:ascii="Aptos" w:eastAsia="Times New Roman" w:hAnsi="Aptos" w:cs="Times New Roman"/>
          <w:color w:val="002060"/>
        </w:rPr>
        <w:t>optimise</w:t>
      </w:r>
      <w:proofErr w:type="spellEnd"/>
      <w:r w:rsidRPr="009D7BF1">
        <w:rPr>
          <w:rFonts w:ascii="Aptos" w:eastAsia="Times New Roman" w:hAnsi="Aptos" w:cs="Times New Roman"/>
          <w:color w:val="002060"/>
        </w:rPr>
        <w:t xml:space="preserve"> operating costs while aligning with increasingly stringent sustainability requirements in export markets such as Europe and the United States.</w:t>
      </w:r>
    </w:p>
    <w:p w14:paraId="16DAEA2D"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Alongside the project in Nhon Trach VI IP, </w:t>
      </w:r>
      <w:proofErr w:type="spellStart"/>
      <w:r w:rsidRPr="009D7BF1">
        <w:rPr>
          <w:rFonts w:ascii="Aptos" w:eastAsia="Times New Roman" w:hAnsi="Aptos" w:cs="Times New Roman"/>
          <w:color w:val="002060"/>
        </w:rPr>
        <w:t>KCN</w:t>
      </w:r>
      <w:proofErr w:type="spellEnd"/>
      <w:r w:rsidRPr="009D7BF1">
        <w:rPr>
          <w:rFonts w:ascii="Aptos" w:eastAsia="Times New Roman" w:hAnsi="Aptos" w:cs="Times New Roman"/>
          <w:color w:val="002060"/>
        </w:rPr>
        <w:t xml:space="preserve"> Vietnam is also developing the </w:t>
      </w:r>
      <w:proofErr w:type="spellStart"/>
      <w:r w:rsidRPr="009D7BF1">
        <w:rPr>
          <w:rFonts w:ascii="Aptos" w:eastAsia="Times New Roman" w:hAnsi="Aptos" w:cs="Times New Roman"/>
          <w:color w:val="002060"/>
        </w:rPr>
        <w:t>KCN</w:t>
      </w:r>
      <w:proofErr w:type="spellEnd"/>
      <w:r w:rsidRPr="009D7BF1">
        <w:rPr>
          <w:rFonts w:ascii="Aptos" w:eastAsia="Times New Roman" w:hAnsi="Aptos" w:cs="Times New Roman"/>
          <w:color w:val="002060"/>
        </w:rPr>
        <w:t xml:space="preserve"> Ho Nai ready-built warehouse and factory in Dong Nai. A new phase is nearing completion and is expected to deliver more than 50,000 square </w:t>
      </w:r>
      <w:proofErr w:type="spellStart"/>
      <w:r w:rsidRPr="009D7BF1">
        <w:rPr>
          <w:rFonts w:ascii="Aptos" w:eastAsia="Times New Roman" w:hAnsi="Aptos" w:cs="Times New Roman"/>
          <w:color w:val="002060"/>
        </w:rPr>
        <w:t>metres</w:t>
      </w:r>
      <w:proofErr w:type="spellEnd"/>
      <w:r w:rsidRPr="009D7BF1">
        <w:rPr>
          <w:rFonts w:ascii="Aptos" w:eastAsia="Times New Roman" w:hAnsi="Aptos" w:cs="Times New Roman"/>
          <w:color w:val="002060"/>
        </w:rPr>
        <w:t xml:space="preserve"> of ready-built factory space to the market in the first quarter of 2026, contributing to the expansion of high-quality industrial supply in the province</w:t>
      </w:r>
    </w:p>
    <w:p w14:paraId="67567386"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“Dong Nai remains a key industrial hub in southern Vietnam, with strong long-term potential,” said Hardy </w:t>
      </w:r>
      <w:proofErr w:type="spellStart"/>
      <w:r w:rsidRPr="009D7BF1">
        <w:rPr>
          <w:rFonts w:ascii="Aptos" w:eastAsia="Times New Roman" w:hAnsi="Aptos" w:cs="Times New Roman"/>
          <w:color w:val="002060"/>
        </w:rPr>
        <w:t>Diec</w:t>
      </w:r>
      <w:proofErr w:type="spellEnd"/>
      <w:r w:rsidRPr="009D7BF1">
        <w:rPr>
          <w:rFonts w:ascii="Aptos" w:eastAsia="Times New Roman" w:hAnsi="Aptos" w:cs="Times New Roman"/>
          <w:color w:val="002060"/>
        </w:rPr>
        <w:t xml:space="preserve">, COO of </w:t>
      </w:r>
      <w:proofErr w:type="spellStart"/>
      <w:r w:rsidRPr="009D7BF1">
        <w:rPr>
          <w:rFonts w:ascii="Aptos" w:eastAsia="Times New Roman" w:hAnsi="Aptos" w:cs="Times New Roman"/>
          <w:color w:val="002060"/>
        </w:rPr>
        <w:t>KCN</w:t>
      </w:r>
      <w:proofErr w:type="spellEnd"/>
      <w:r w:rsidRPr="009D7BF1">
        <w:rPr>
          <w:rFonts w:ascii="Aptos" w:eastAsia="Times New Roman" w:hAnsi="Aptos" w:cs="Times New Roman"/>
          <w:color w:val="002060"/>
        </w:rPr>
        <w:t xml:space="preserve"> Vietnam. “Our projects are designed to support the province’s direction of attracting higher-quality foreign direct investment through sustainable, internationally aligned industrial facilities.”</w:t>
      </w:r>
    </w:p>
    <w:p w14:paraId="7A9AB7D7" w14:textId="77777777" w:rsidR="009D7BF1" w:rsidRPr="009D7BF1" w:rsidRDefault="009D7BF1" w:rsidP="009D7BF1">
      <w:pPr>
        <w:spacing w:after="225"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From a longer-term perspective, the upgrading of industrial infrastructure in Dong Nai reflects a broader shift towards higher standards as global capital increasingly </w:t>
      </w:r>
      <w:proofErr w:type="spellStart"/>
      <w:r w:rsidRPr="009D7BF1">
        <w:rPr>
          <w:rFonts w:ascii="Aptos" w:eastAsia="Times New Roman" w:hAnsi="Aptos" w:cs="Times New Roman"/>
          <w:color w:val="002060"/>
        </w:rPr>
        <w:t>prioritises</w:t>
      </w:r>
      <w:proofErr w:type="spellEnd"/>
      <w:r w:rsidRPr="009D7BF1">
        <w:rPr>
          <w:rFonts w:ascii="Aptos" w:eastAsia="Times New Roman" w:hAnsi="Aptos" w:cs="Times New Roman"/>
          <w:color w:val="002060"/>
        </w:rPr>
        <w:t xml:space="preserve"> sustainability and operational efficiency.</w:t>
      </w:r>
    </w:p>
    <w:p w14:paraId="5DEE0835" w14:textId="518FD209" w:rsidR="00846825" w:rsidRPr="009D7BF1" w:rsidRDefault="009D7BF1" w:rsidP="009D7BF1">
      <w:pPr>
        <w:spacing w:line="240" w:lineRule="auto"/>
        <w:jc w:val="both"/>
        <w:rPr>
          <w:rFonts w:ascii="Aptos" w:eastAsia="Times New Roman" w:hAnsi="Aptos" w:cs="Times New Roman"/>
          <w:color w:val="002060"/>
        </w:rPr>
      </w:pPr>
      <w:r w:rsidRPr="009D7BF1">
        <w:rPr>
          <w:rFonts w:ascii="Aptos" w:eastAsia="Times New Roman" w:hAnsi="Aptos" w:cs="Times New Roman"/>
          <w:color w:val="002060"/>
        </w:rPr>
        <w:t xml:space="preserve">The alignment between transparent local investment policies and developers' capacity to deliver internationally compliant infrastructure is expected to remain a key factor shaping the province’s industrial development trajectory, </w:t>
      </w:r>
      <w:proofErr w:type="spellStart"/>
      <w:r w:rsidRPr="009D7BF1">
        <w:rPr>
          <w:rFonts w:ascii="Aptos" w:eastAsia="Times New Roman" w:hAnsi="Aptos" w:cs="Times New Roman"/>
          <w:color w:val="002060"/>
        </w:rPr>
        <w:t>Diec</w:t>
      </w:r>
      <w:proofErr w:type="spellEnd"/>
      <w:r w:rsidRPr="009D7BF1">
        <w:rPr>
          <w:rFonts w:ascii="Aptos" w:eastAsia="Times New Roman" w:hAnsi="Aptos" w:cs="Times New Roman"/>
          <w:color w:val="002060"/>
        </w:rPr>
        <w:t xml:space="preserve"> added.</w:t>
      </w:r>
    </w:p>
    <w:p w14:paraId="6D93C918" w14:textId="77777777" w:rsidR="00846825" w:rsidRPr="009D7BF1" w:rsidRDefault="00846825" w:rsidP="009D7BF1">
      <w:pPr>
        <w:spacing w:line="288" w:lineRule="auto"/>
        <w:jc w:val="both"/>
        <w:rPr>
          <w:rFonts w:ascii="Aptos" w:eastAsia="Times New Roman" w:hAnsi="Aptos" w:cs="Times New Roman"/>
          <w:color w:val="002060"/>
        </w:rPr>
      </w:pPr>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14:paraId="0974C56A" w14:textId="77E7149A" w:rsidR="00881894" w:rsidRDefault="00245E42" w:rsidP="00881894">
      <w:pPr>
        <w:spacing w:line="288" w:lineRule="auto"/>
        <w:jc w:val="right"/>
        <w:rPr>
          <w:rStyle w:val="Hyperlink"/>
          <w:rFonts w:ascii="Aptos" w:eastAsia="Malgun Gothic" w:hAnsi="Aptos" w:cs="Times New Roman"/>
          <w:color w:val="002060"/>
        </w:rPr>
      </w:pPr>
      <w:r w:rsidRPr="004C6CBE">
        <w:fldChar w:fldCharType="begin"/>
      </w:r>
      <w:r w:rsidRPr="004C6CBE">
        <w:rPr>
          <w:rFonts w:ascii="Aptos" w:hAnsi="Aptos"/>
        </w:rPr>
        <w:instrText>HYPERLINK \l "_top"</w:instrText>
      </w:r>
      <w:r w:rsidRPr="004C6CBE">
        <w:fldChar w:fldCharType="separate"/>
      </w:r>
      <w:r w:rsidR="00881894" w:rsidRPr="004C6CBE">
        <w:rPr>
          <w:rStyle w:val="Hyperlink"/>
          <w:rFonts w:ascii="Aptos" w:eastAsia="Malgun Gothic" w:hAnsi="Aptos" w:cs="Times New Roman"/>
          <w:color w:val="002060"/>
        </w:rPr>
        <w:t>Back to</w:t>
      </w:r>
      <w:r w:rsidR="008928BC" w:rsidRPr="004C6CBE">
        <w:rPr>
          <w:rStyle w:val="Hyperlink"/>
          <w:rFonts w:ascii="Aptos" w:eastAsia="Malgun Gothic" w:hAnsi="Aptos" w:cs="Times New Roman"/>
          <w:color w:val="002060"/>
        </w:rPr>
        <w:t xml:space="preserve"> </w:t>
      </w:r>
      <w:r w:rsidR="00881894" w:rsidRPr="004C6CBE">
        <w:rPr>
          <w:rStyle w:val="Hyperlink"/>
          <w:rFonts w:ascii="Aptos" w:eastAsia="Malgun Gothic" w:hAnsi="Aptos" w:cs="Times New Roman"/>
          <w:color w:val="002060"/>
        </w:rPr>
        <w:t>Top</w:t>
      </w:r>
      <w:r w:rsidRPr="004C6CBE">
        <w:rPr>
          <w:rStyle w:val="Hyperlink"/>
          <w:rFonts w:ascii="Aptos" w:eastAsia="Malgun Gothic" w:hAnsi="Aptos" w:cs="Times New Roman"/>
          <w:color w:val="002060"/>
        </w:rPr>
        <w:fldChar w:fldCharType="end"/>
      </w:r>
    </w:p>
    <w:p w14:paraId="3AA08721" w14:textId="77777777" w:rsidR="00C34873" w:rsidRDefault="00C34873" w:rsidP="00C34873">
      <w:pPr>
        <w:spacing w:after="161" w:line="240" w:lineRule="auto"/>
        <w:outlineLvl w:val="0"/>
        <w:rPr>
          <w:rFonts w:ascii="Times New Roman" w:eastAsia="Times New Roman" w:hAnsi="Times New Roman" w:cs="Times New Roman"/>
          <w:color w:val="000000"/>
          <w:kern w:val="36"/>
          <w:sz w:val="45"/>
          <w:szCs w:val="45"/>
        </w:rPr>
      </w:pPr>
    </w:p>
    <w:p w14:paraId="775E6226" w14:textId="77777777" w:rsidR="00C34873" w:rsidRPr="00AE3070" w:rsidRDefault="00C34873" w:rsidP="00C34873">
      <w:pPr>
        <w:spacing w:after="161" w:line="240" w:lineRule="auto"/>
        <w:outlineLvl w:val="0"/>
        <w:rPr>
          <w:rFonts w:ascii="Times New Roman" w:eastAsia="Times New Roman" w:hAnsi="Times New Roman" w:cs="Times New Roman"/>
          <w:color w:val="000000"/>
          <w:kern w:val="36"/>
          <w:sz w:val="44"/>
          <w:szCs w:val="44"/>
        </w:rPr>
      </w:pPr>
    </w:p>
    <w:p w14:paraId="770DFC67" w14:textId="10557CC7" w:rsidR="00C34873" w:rsidRPr="00AE3070" w:rsidRDefault="00C34873" w:rsidP="00C34873">
      <w:pPr>
        <w:spacing w:after="161" w:line="288" w:lineRule="auto"/>
        <w:jc w:val="both"/>
        <w:outlineLvl w:val="0"/>
        <w:rPr>
          <w:rFonts w:ascii="Aptos" w:eastAsia="Times New Roman" w:hAnsi="Aptos" w:cstheme="minorHAnsi"/>
          <w:b/>
          <w:bCs/>
          <w:color w:val="002060"/>
          <w:kern w:val="36"/>
          <w:sz w:val="24"/>
          <w:szCs w:val="24"/>
        </w:rPr>
      </w:pPr>
      <w:bookmarkStart w:id="1103" w:name="_Toc220587263"/>
      <w:proofErr w:type="gramStart"/>
      <w:r w:rsidRPr="00AE3070">
        <w:rPr>
          <w:rFonts w:ascii="Aptos" w:eastAsia="Times New Roman" w:hAnsi="Aptos" w:cstheme="minorHAnsi"/>
          <w:b/>
          <w:bCs/>
          <w:color w:val="002060"/>
          <w:kern w:val="36"/>
          <w:sz w:val="24"/>
          <w:szCs w:val="24"/>
        </w:rPr>
        <w:t>An</w:t>
      </w:r>
      <w:proofErr w:type="gramEnd"/>
      <w:r w:rsidRPr="00AE3070">
        <w:rPr>
          <w:rFonts w:ascii="Aptos" w:eastAsia="Times New Roman" w:hAnsi="Aptos" w:cstheme="minorHAnsi"/>
          <w:b/>
          <w:bCs/>
          <w:color w:val="002060"/>
          <w:kern w:val="36"/>
          <w:sz w:val="24"/>
          <w:szCs w:val="24"/>
        </w:rPr>
        <w:t xml:space="preserve"> Phat 5 Industrial Park targets </w:t>
      </w:r>
      <w:proofErr w:type="spellStart"/>
      <w:r w:rsidRPr="00AE3070">
        <w:rPr>
          <w:rFonts w:ascii="Aptos" w:eastAsia="Times New Roman" w:hAnsi="Aptos" w:cstheme="minorHAnsi"/>
          <w:b/>
          <w:bCs/>
          <w:color w:val="002060"/>
          <w:kern w:val="36"/>
          <w:sz w:val="24"/>
          <w:szCs w:val="24"/>
        </w:rPr>
        <w:t>ESG</w:t>
      </w:r>
      <w:proofErr w:type="spellEnd"/>
      <w:r w:rsidRPr="00AE3070">
        <w:rPr>
          <w:rFonts w:ascii="Aptos" w:eastAsia="Times New Roman" w:hAnsi="Aptos" w:cstheme="minorHAnsi"/>
          <w:b/>
          <w:bCs/>
          <w:color w:val="002060"/>
          <w:kern w:val="36"/>
          <w:sz w:val="24"/>
          <w:szCs w:val="24"/>
        </w:rPr>
        <w:t>-driven investors in Hai Phong</w:t>
      </w:r>
      <w:bookmarkEnd w:id="1103"/>
    </w:p>
    <w:p w14:paraId="34F14ABB" w14:textId="2C145806" w:rsidR="00C34873" w:rsidRPr="00C34873" w:rsidRDefault="00C34873" w:rsidP="00C34873">
      <w:pPr>
        <w:spacing w:after="150" w:line="288" w:lineRule="auto"/>
        <w:jc w:val="both"/>
        <w:rPr>
          <w:rFonts w:ascii="Aptos" w:eastAsia="Times New Roman" w:hAnsi="Aptos" w:cstheme="minorHAnsi"/>
          <w:i/>
          <w:iCs/>
          <w:color w:val="002060"/>
          <w:sz w:val="18"/>
          <w:szCs w:val="18"/>
        </w:rPr>
      </w:pPr>
      <w:r w:rsidRPr="00C34873">
        <w:rPr>
          <w:rFonts w:ascii="Aptos" w:eastAsia="Times New Roman" w:hAnsi="Aptos" w:cstheme="minorHAnsi"/>
          <w:i/>
          <w:iCs/>
          <w:color w:val="002060"/>
          <w:sz w:val="18"/>
          <w:szCs w:val="18"/>
        </w:rPr>
        <w:t>VIR</w:t>
      </w:r>
    </w:p>
    <w:p w14:paraId="42946874" w14:textId="77777777" w:rsidR="00C34873" w:rsidRPr="00C34873" w:rsidRDefault="00C34873" w:rsidP="00C34873">
      <w:pPr>
        <w:spacing w:after="150" w:line="288" w:lineRule="auto"/>
        <w:jc w:val="both"/>
        <w:rPr>
          <w:rFonts w:ascii="Aptos" w:eastAsia="Times New Roman" w:hAnsi="Aptos" w:cstheme="minorHAnsi"/>
          <w:color w:val="002060"/>
        </w:rPr>
      </w:pPr>
    </w:p>
    <w:p w14:paraId="27CCAAFF" w14:textId="77777777" w:rsidR="00C34873" w:rsidRPr="00C34873" w:rsidRDefault="00C34873" w:rsidP="00C34873">
      <w:pPr>
        <w:spacing w:after="150" w:line="288" w:lineRule="auto"/>
        <w:jc w:val="both"/>
        <w:rPr>
          <w:rFonts w:ascii="Aptos" w:eastAsia="Times New Roman" w:hAnsi="Aptos" w:cstheme="minorHAnsi"/>
          <w:color w:val="002060"/>
        </w:rPr>
      </w:pPr>
      <w:proofErr w:type="gramStart"/>
      <w:r w:rsidRPr="00C34873">
        <w:rPr>
          <w:rFonts w:ascii="Aptos" w:eastAsia="Times New Roman" w:hAnsi="Aptos" w:cstheme="minorHAnsi"/>
          <w:color w:val="002060"/>
        </w:rPr>
        <w:t>An</w:t>
      </w:r>
      <w:proofErr w:type="gramEnd"/>
      <w:r w:rsidRPr="00C34873">
        <w:rPr>
          <w:rFonts w:ascii="Aptos" w:eastAsia="Times New Roman" w:hAnsi="Aptos" w:cstheme="minorHAnsi"/>
          <w:color w:val="002060"/>
        </w:rPr>
        <w:t xml:space="preserve"> Phat 5 Industrial Park (</w:t>
      </w:r>
      <w:proofErr w:type="spellStart"/>
      <w:r w:rsidRPr="00C34873">
        <w:rPr>
          <w:rFonts w:ascii="Aptos" w:eastAsia="Times New Roman" w:hAnsi="Aptos" w:cstheme="minorHAnsi"/>
          <w:color w:val="002060"/>
        </w:rPr>
        <w:t>AP5IP</w:t>
      </w:r>
      <w:proofErr w:type="spellEnd"/>
      <w:r w:rsidRPr="00C34873">
        <w:rPr>
          <w:rFonts w:ascii="Aptos" w:eastAsia="Times New Roman" w:hAnsi="Aptos" w:cstheme="minorHAnsi"/>
          <w:color w:val="002060"/>
        </w:rPr>
        <w:t>) has emerged as a new industrial development in Hai Phong, positioning itself to attract overseas investors in sustainable and high-tech manufacturing.</w:t>
      </w:r>
    </w:p>
    <w:p w14:paraId="71C8C1EA" w14:textId="77777777" w:rsidR="00C34873" w:rsidRPr="00C34873" w:rsidRDefault="00C34873" w:rsidP="00C34873">
      <w:pPr>
        <w:spacing w:after="225" w:line="288" w:lineRule="auto"/>
        <w:jc w:val="both"/>
        <w:rPr>
          <w:rFonts w:ascii="Aptos" w:eastAsia="Times New Roman" w:hAnsi="Aptos" w:cstheme="minorHAnsi"/>
          <w:color w:val="002060"/>
        </w:rPr>
      </w:pPr>
      <w:r w:rsidRPr="00C34873">
        <w:rPr>
          <w:rFonts w:ascii="Aptos" w:eastAsia="Times New Roman" w:hAnsi="Aptos" w:cstheme="minorHAnsi"/>
          <w:color w:val="002060"/>
        </w:rPr>
        <w:t>Construction of </w:t>
      </w:r>
      <w:hyperlink r:id="rId9" w:history="1">
        <w:r w:rsidRPr="00C34873">
          <w:rPr>
            <w:rFonts w:ascii="Aptos" w:eastAsia="Times New Roman" w:hAnsi="Aptos" w:cstheme="minorHAnsi"/>
            <w:color w:val="002060"/>
            <w:u w:val="single"/>
          </w:rPr>
          <w:t>An Phat 5 Industrial Park</w:t>
        </w:r>
      </w:hyperlink>
      <w:r w:rsidRPr="00C34873">
        <w:rPr>
          <w:rFonts w:ascii="Aptos" w:eastAsia="Times New Roman" w:hAnsi="Aptos" w:cstheme="minorHAnsi"/>
          <w:color w:val="002060"/>
        </w:rPr>
        <w:t> (</w:t>
      </w:r>
      <w:proofErr w:type="spellStart"/>
      <w:r w:rsidRPr="00C34873">
        <w:rPr>
          <w:rFonts w:ascii="Aptos" w:eastAsia="Times New Roman" w:hAnsi="Aptos" w:cstheme="minorHAnsi"/>
          <w:color w:val="002060"/>
        </w:rPr>
        <w:t>AP5IP</w:t>
      </w:r>
      <w:proofErr w:type="spellEnd"/>
      <w:r w:rsidRPr="00C34873">
        <w:rPr>
          <w:rFonts w:ascii="Aptos" w:eastAsia="Times New Roman" w:hAnsi="Aptos" w:cstheme="minorHAnsi"/>
          <w:color w:val="002060"/>
        </w:rPr>
        <w:t xml:space="preserve">) in Luong </w:t>
      </w:r>
      <w:proofErr w:type="spellStart"/>
      <w:r w:rsidRPr="00C34873">
        <w:rPr>
          <w:rFonts w:ascii="Aptos" w:eastAsia="Times New Roman" w:hAnsi="Aptos" w:cstheme="minorHAnsi"/>
          <w:color w:val="002060"/>
        </w:rPr>
        <w:t>Dien</w:t>
      </w:r>
      <w:proofErr w:type="spellEnd"/>
      <w:r w:rsidRPr="00C34873">
        <w:rPr>
          <w:rFonts w:ascii="Aptos" w:eastAsia="Times New Roman" w:hAnsi="Aptos" w:cstheme="minorHAnsi"/>
          <w:color w:val="002060"/>
        </w:rPr>
        <w:t xml:space="preserve"> – Ngoc Lien commenced on December 19. The 150-hectare undertaking is being developed by Luong </w:t>
      </w:r>
      <w:proofErr w:type="spellStart"/>
      <w:r w:rsidRPr="00C34873">
        <w:rPr>
          <w:rFonts w:ascii="Aptos" w:eastAsia="Times New Roman" w:hAnsi="Aptos" w:cstheme="minorHAnsi"/>
          <w:color w:val="002060"/>
        </w:rPr>
        <w:t>Dien</w:t>
      </w:r>
      <w:proofErr w:type="spellEnd"/>
      <w:r w:rsidRPr="00C34873">
        <w:rPr>
          <w:rFonts w:ascii="Aptos" w:eastAsia="Times New Roman" w:hAnsi="Aptos" w:cstheme="minorHAnsi"/>
          <w:color w:val="002060"/>
        </w:rPr>
        <w:t xml:space="preserve"> Ngoc Lien </w:t>
      </w:r>
      <w:proofErr w:type="spellStart"/>
      <w:r w:rsidRPr="00C34873">
        <w:rPr>
          <w:rFonts w:ascii="Aptos" w:eastAsia="Times New Roman" w:hAnsi="Aptos" w:cstheme="minorHAnsi"/>
          <w:color w:val="002060"/>
        </w:rPr>
        <w:t>JSC</w:t>
      </w:r>
      <w:proofErr w:type="spellEnd"/>
      <w:r w:rsidRPr="00C34873">
        <w:rPr>
          <w:rFonts w:ascii="Aptos" w:eastAsia="Times New Roman" w:hAnsi="Aptos" w:cstheme="minorHAnsi"/>
          <w:color w:val="002060"/>
        </w:rPr>
        <w:t xml:space="preserve">, a member of </w:t>
      </w:r>
      <w:proofErr w:type="gramStart"/>
      <w:r w:rsidRPr="00C34873">
        <w:rPr>
          <w:rFonts w:ascii="Aptos" w:eastAsia="Times New Roman" w:hAnsi="Aptos" w:cstheme="minorHAnsi"/>
          <w:color w:val="002060"/>
        </w:rPr>
        <w:t>An</w:t>
      </w:r>
      <w:proofErr w:type="gramEnd"/>
      <w:r w:rsidRPr="00C34873">
        <w:rPr>
          <w:rFonts w:ascii="Aptos" w:eastAsia="Times New Roman" w:hAnsi="Aptos" w:cstheme="minorHAnsi"/>
          <w:color w:val="002060"/>
        </w:rPr>
        <w:t xml:space="preserve"> Phat Holdings Group (APH), and is designed in line with Environmental, Social, and Governance (</w:t>
      </w:r>
      <w:proofErr w:type="spellStart"/>
      <w:r w:rsidRPr="00C34873">
        <w:rPr>
          <w:rFonts w:ascii="Aptos" w:eastAsia="Times New Roman" w:hAnsi="Aptos" w:cstheme="minorHAnsi"/>
          <w:color w:val="002060"/>
        </w:rPr>
        <w:t>ESG</w:t>
      </w:r>
      <w:proofErr w:type="spellEnd"/>
      <w:r w:rsidRPr="00C34873">
        <w:rPr>
          <w:rFonts w:ascii="Aptos" w:eastAsia="Times New Roman" w:hAnsi="Aptos" w:cstheme="minorHAnsi"/>
          <w:color w:val="002060"/>
        </w:rPr>
        <w:t>) standards.</w:t>
      </w:r>
    </w:p>
    <w:p w14:paraId="3DC42093" w14:textId="77777777" w:rsidR="00C34873" w:rsidRPr="00C34873" w:rsidRDefault="00C34873" w:rsidP="00C34873">
      <w:pPr>
        <w:spacing w:line="288" w:lineRule="auto"/>
        <w:jc w:val="both"/>
        <w:rPr>
          <w:rFonts w:ascii="Aptos" w:eastAsia="Times New Roman" w:hAnsi="Aptos" w:cstheme="minorHAnsi"/>
          <w:color w:val="002060"/>
        </w:rPr>
      </w:pPr>
      <w:r w:rsidRPr="00C34873">
        <w:rPr>
          <w:rFonts w:ascii="Aptos" w:eastAsia="Times New Roman" w:hAnsi="Aptos" w:cstheme="minorHAnsi"/>
          <w:color w:val="002060"/>
        </w:rPr>
        <w:t xml:space="preserve">Positioned as an </w:t>
      </w:r>
      <w:proofErr w:type="spellStart"/>
      <w:r w:rsidRPr="00C34873">
        <w:rPr>
          <w:rFonts w:ascii="Aptos" w:eastAsia="Times New Roman" w:hAnsi="Aptos" w:cstheme="minorHAnsi"/>
          <w:color w:val="002060"/>
        </w:rPr>
        <w:t>ESG</w:t>
      </w:r>
      <w:proofErr w:type="spellEnd"/>
      <w:r w:rsidRPr="00C34873">
        <w:rPr>
          <w:rFonts w:ascii="Aptos" w:eastAsia="Times New Roman" w:hAnsi="Aptos" w:cstheme="minorHAnsi"/>
          <w:color w:val="002060"/>
        </w:rPr>
        <w:t xml:space="preserve">-oriented industrial park, the project aims to attract foreign investors in sustainable and high-tech manufacturing. Its </w:t>
      </w:r>
      <w:proofErr w:type="spellStart"/>
      <w:r w:rsidRPr="00C34873">
        <w:rPr>
          <w:rFonts w:ascii="Aptos" w:eastAsia="Times New Roman" w:hAnsi="Aptos" w:cstheme="minorHAnsi"/>
          <w:color w:val="002060"/>
        </w:rPr>
        <w:t>ESG</w:t>
      </w:r>
      <w:proofErr w:type="spellEnd"/>
      <w:r w:rsidRPr="00C34873">
        <w:rPr>
          <w:rFonts w:ascii="Aptos" w:eastAsia="Times New Roman" w:hAnsi="Aptos" w:cstheme="minorHAnsi"/>
          <w:color w:val="002060"/>
        </w:rPr>
        <w:t>-aligned development approach is expected to enhance Hai Phong’s competitiveness as an investment destination and support long-term industrial growth.</w:t>
      </w:r>
    </w:p>
    <w:p w14:paraId="4A8BAB65" w14:textId="77777777" w:rsidR="00C34873" w:rsidRPr="00C34873" w:rsidRDefault="00C34873" w:rsidP="00C34873">
      <w:pPr>
        <w:spacing w:after="225" w:line="288" w:lineRule="auto"/>
        <w:jc w:val="both"/>
        <w:rPr>
          <w:rFonts w:ascii="Aptos" w:eastAsia="Times New Roman" w:hAnsi="Aptos" w:cstheme="minorHAnsi"/>
          <w:color w:val="002060"/>
        </w:rPr>
      </w:pPr>
      <w:proofErr w:type="spellStart"/>
      <w:r w:rsidRPr="00C34873">
        <w:rPr>
          <w:rFonts w:ascii="Aptos" w:eastAsia="Times New Roman" w:hAnsi="Aptos" w:cstheme="minorHAnsi"/>
          <w:color w:val="002060"/>
        </w:rPr>
        <w:t>AP5IP</w:t>
      </w:r>
      <w:proofErr w:type="spellEnd"/>
      <w:r w:rsidRPr="00C34873">
        <w:rPr>
          <w:rFonts w:ascii="Aptos" w:eastAsia="Times New Roman" w:hAnsi="Aptos" w:cstheme="minorHAnsi"/>
          <w:color w:val="002060"/>
        </w:rPr>
        <w:t xml:space="preserve"> offers strong connectivity, with direct access to National Highways 38 and 5, two major transport corridors linking Ha Noi, Hai Phong, and Bac Ninh. The site is located approximately 12 km (around 20 minutes by road) from Gia Binh International Airport and around 22 km from the South Hai Duong high-speed railway station on the Lao Cai – Hai Phong line, supporting multimodal transport and more efficient logistics amid regional supply chain restructuring.</w:t>
      </w:r>
    </w:p>
    <w:p w14:paraId="6B3B1250" w14:textId="77777777" w:rsidR="00C34873" w:rsidRPr="00C34873" w:rsidRDefault="00C34873" w:rsidP="00C34873">
      <w:pPr>
        <w:spacing w:after="225" w:line="288" w:lineRule="auto"/>
        <w:jc w:val="both"/>
        <w:rPr>
          <w:rFonts w:ascii="Aptos" w:eastAsia="Times New Roman" w:hAnsi="Aptos" w:cstheme="minorHAnsi"/>
          <w:color w:val="002060"/>
        </w:rPr>
      </w:pPr>
      <w:r w:rsidRPr="00C34873">
        <w:rPr>
          <w:rFonts w:ascii="Aptos" w:eastAsia="Times New Roman" w:hAnsi="Aptos" w:cstheme="minorHAnsi"/>
          <w:color w:val="002060"/>
        </w:rPr>
        <w:t xml:space="preserve">The industrial park also sits within a dense cluster of established industrial zones in the former Hai Duong province, including Vietnam-Singapore Industrial Park Hai Duong, and key parks in Bac Ninh such as Thuan Thanh I and Thuan Thanh III, helping to create an integrated manufacturing and supporting-industry ecosystem. Backed by </w:t>
      </w:r>
      <w:proofErr w:type="gramStart"/>
      <w:r w:rsidRPr="00C34873">
        <w:rPr>
          <w:rFonts w:ascii="Aptos" w:eastAsia="Times New Roman" w:hAnsi="Aptos" w:cstheme="minorHAnsi"/>
          <w:color w:val="002060"/>
        </w:rPr>
        <w:t>An</w:t>
      </w:r>
      <w:proofErr w:type="gramEnd"/>
      <w:r w:rsidRPr="00C34873">
        <w:rPr>
          <w:rFonts w:ascii="Aptos" w:eastAsia="Times New Roman" w:hAnsi="Aptos" w:cstheme="minorHAnsi"/>
          <w:color w:val="002060"/>
        </w:rPr>
        <w:t xml:space="preserve"> Phat Holdings’ experience in industrial park development and close partnerships with manufacturers, the project offers a comprehensive support platform covering investment procedures, logistics, industrial catering, and recruitment consultancy, enabling investors to accelerate project deployment and </w:t>
      </w:r>
      <w:proofErr w:type="spellStart"/>
      <w:r w:rsidRPr="00C34873">
        <w:rPr>
          <w:rFonts w:ascii="Aptos" w:eastAsia="Times New Roman" w:hAnsi="Aptos" w:cstheme="minorHAnsi"/>
          <w:color w:val="002060"/>
        </w:rPr>
        <w:t>stabilise</w:t>
      </w:r>
      <w:proofErr w:type="spellEnd"/>
      <w:r w:rsidRPr="00C34873">
        <w:rPr>
          <w:rFonts w:ascii="Aptos" w:eastAsia="Times New Roman" w:hAnsi="Aptos" w:cstheme="minorHAnsi"/>
          <w:color w:val="002060"/>
        </w:rPr>
        <w:t xml:space="preserve"> operations more quickly.</w:t>
      </w:r>
    </w:p>
    <w:p w14:paraId="543A71FC" w14:textId="77777777" w:rsidR="00C34873" w:rsidRPr="00C34873" w:rsidRDefault="00C34873" w:rsidP="00C34873">
      <w:pPr>
        <w:spacing w:after="225" w:line="288" w:lineRule="auto"/>
        <w:jc w:val="both"/>
        <w:rPr>
          <w:rFonts w:ascii="Aptos" w:eastAsia="Times New Roman" w:hAnsi="Aptos" w:cstheme="minorHAnsi"/>
          <w:color w:val="002060"/>
        </w:rPr>
      </w:pPr>
      <w:r w:rsidRPr="00C34873">
        <w:rPr>
          <w:rFonts w:ascii="Aptos" w:eastAsia="Times New Roman" w:hAnsi="Aptos" w:cstheme="minorHAnsi"/>
          <w:color w:val="002060"/>
        </w:rPr>
        <w:t>Spanning 150 hectares with land use rights valid until 2073, the industrial park boasts a construction density of 70 per cent, with 15 per cent allocated for internal transportation, 10 per cent for greenery, and the remaining 5 per cent for technical infrastructure.</w:t>
      </w:r>
    </w:p>
    <w:p w14:paraId="6133B22D" w14:textId="77777777" w:rsidR="00C34873" w:rsidRPr="00C34873" w:rsidRDefault="00C34873" w:rsidP="00C34873">
      <w:pPr>
        <w:spacing w:line="288" w:lineRule="auto"/>
        <w:jc w:val="both"/>
        <w:rPr>
          <w:rFonts w:ascii="Aptos" w:eastAsia="Times New Roman" w:hAnsi="Aptos" w:cstheme="minorHAnsi"/>
          <w:color w:val="002060"/>
        </w:rPr>
      </w:pPr>
      <w:r w:rsidRPr="00C34873">
        <w:rPr>
          <w:rFonts w:ascii="Aptos" w:eastAsia="Times New Roman" w:hAnsi="Aptos" w:cstheme="minorHAnsi"/>
          <w:color w:val="002060"/>
        </w:rPr>
        <w:t xml:space="preserve">Designed as a model industrial park, </w:t>
      </w:r>
      <w:proofErr w:type="spellStart"/>
      <w:r w:rsidRPr="00C34873">
        <w:rPr>
          <w:rFonts w:ascii="Aptos" w:eastAsia="Times New Roman" w:hAnsi="Aptos" w:cstheme="minorHAnsi"/>
          <w:color w:val="002060"/>
        </w:rPr>
        <w:t>AP5IP</w:t>
      </w:r>
      <w:proofErr w:type="spellEnd"/>
      <w:r w:rsidRPr="00C34873">
        <w:rPr>
          <w:rFonts w:ascii="Aptos" w:eastAsia="Times New Roman" w:hAnsi="Aptos" w:cstheme="minorHAnsi"/>
          <w:color w:val="002060"/>
        </w:rPr>
        <w:t xml:space="preserve"> is being developed in strict compliance with </w:t>
      </w:r>
      <w:proofErr w:type="spellStart"/>
      <w:r w:rsidRPr="00C34873">
        <w:rPr>
          <w:rFonts w:ascii="Aptos" w:eastAsia="Times New Roman" w:hAnsi="Aptos" w:cstheme="minorHAnsi"/>
          <w:color w:val="002060"/>
        </w:rPr>
        <w:t>ESG</w:t>
      </w:r>
      <w:proofErr w:type="spellEnd"/>
      <w:r w:rsidRPr="00C34873">
        <w:rPr>
          <w:rFonts w:ascii="Aptos" w:eastAsia="Times New Roman" w:hAnsi="Aptos" w:cstheme="minorHAnsi"/>
          <w:color w:val="002060"/>
        </w:rPr>
        <w:t xml:space="preserve"> standards, reflecting </w:t>
      </w:r>
      <w:proofErr w:type="gramStart"/>
      <w:r w:rsidRPr="00C34873">
        <w:rPr>
          <w:rFonts w:ascii="Aptos" w:eastAsia="Times New Roman" w:hAnsi="Aptos" w:cstheme="minorHAnsi"/>
          <w:color w:val="002060"/>
        </w:rPr>
        <w:t>An</w:t>
      </w:r>
      <w:proofErr w:type="gramEnd"/>
      <w:r w:rsidRPr="00C34873">
        <w:rPr>
          <w:rFonts w:ascii="Aptos" w:eastAsia="Times New Roman" w:hAnsi="Aptos" w:cstheme="minorHAnsi"/>
          <w:color w:val="002060"/>
        </w:rPr>
        <w:t xml:space="preserve"> Phat Holdings’ strategy for green industrial growth aligned with global sustainability trends, while strengthening its competitiveness in attracting investors, manufacturers, and long-term value creation.</w:t>
      </w:r>
    </w:p>
    <w:p w14:paraId="272694EE" w14:textId="77777777" w:rsidR="00C34873" w:rsidRPr="00C34873" w:rsidRDefault="00C34873" w:rsidP="00C34873">
      <w:pPr>
        <w:spacing w:after="225" w:line="288" w:lineRule="auto"/>
        <w:jc w:val="both"/>
        <w:rPr>
          <w:rFonts w:ascii="Aptos" w:eastAsia="Times New Roman" w:hAnsi="Aptos" w:cstheme="minorHAnsi"/>
          <w:color w:val="002060"/>
        </w:rPr>
      </w:pPr>
      <w:proofErr w:type="spellStart"/>
      <w:r w:rsidRPr="00C34873">
        <w:rPr>
          <w:rFonts w:ascii="Aptos" w:eastAsia="Times New Roman" w:hAnsi="Aptos" w:cstheme="minorHAnsi"/>
          <w:color w:val="002060"/>
        </w:rPr>
        <w:t>AP5IP</w:t>
      </w:r>
      <w:proofErr w:type="spellEnd"/>
      <w:r w:rsidRPr="00C34873">
        <w:rPr>
          <w:rFonts w:ascii="Aptos" w:eastAsia="Times New Roman" w:hAnsi="Aptos" w:cstheme="minorHAnsi"/>
          <w:color w:val="002060"/>
        </w:rPr>
        <w:t xml:space="preserve"> features fully integrated infrastructure designed to </w:t>
      </w:r>
      <w:proofErr w:type="spellStart"/>
      <w:r w:rsidRPr="00C34873">
        <w:rPr>
          <w:rFonts w:ascii="Aptos" w:eastAsia="Times New Roman" w:hAnsi="Aptos" w:cstheme="minorHAnsi"/>
          <w:color w:val="002060"/>
        </w:rPr>
        <w:t>optimise</w:t>
      </w:r>
      <w:proofErr w:type="spellEnd"/>
      <w:r w:rsidRPr="00C34873">
        <w:rPr>
          <w:rFonts w:ascii="Aptos" w:eastAsia="Times New Roman" w:hAnsi="Aptos" w:cstheme="minorHAnsi"/>
          <w:color w:val="002060"/>
        </w:rPr>
        <w:t xml:space="preserve"> energy and resource efficiency while </w:t>
      </w:r>
      <w:proofErr w:type="spellStart"/>
      <w:r w:rsidRPr="00C34873">
        <w:rPr>
          <w:rFonts w:ascii="Aptos" w:eastAsia="Times New Roman" w:hAnsi="Aptos" w:cstheme="minorHAnsi"/>
          <w:color w:val="002060"/>
        </w:rPr>
        <w:t>minimising</w:t>
      </w:r>
      <w:proofErr w:type="spellEnd"/>
      <w:r w:rsidRPr="00C34873">
        <w:rPr>
          <w:rFonts w:ascii="Aptos" w:eastAsia="Times New Roman" w:hAnsi="Aptos" w:cstheme="minorHAnsi"/>
          <w:color w:val="002060"/>
        </w:rPr>
        <w:t xml:space="preserve"> environmental impact during operations. The industrial park is equipped with a modern, closed-loop wastewater treatment system that meets stringent environmental standards, alongside well-planned green spaces and </w:t>
      </w:r>
      <w:r w:rsidRPr="00C34873">
        <w:rPr>
          <w:rFonts w:ascii="Aptos" w:eastAsia="Times New Roman" w:hAnsi="Aptos" w:cstheme="minorHAnsi"/>
          <w:color w:val="002060"/>
        </w:rPr>
        <w:lastRenderedPageBreak/>
        <w:t>landscaping that support a sustainable working environment, enhance quality of life for employees, and help attract high-quality workers.</w:t>
      </w:r>
    </w:p>
    <w:p w14:paraId="0E2C2BFB" w14:textId="77777777" w:rsidR="00C34873" w:rsidRPr="00C34873" w:rsidRDefault="00C34873" w:rsidP="00C34873">
      <w:pPr>
        <w:spacing w:after="225" w:line="288" w:lineRule="auto"/>
        <w:jc w:val="both"/>
        <w:rPr>
          <w:rFonts w:ascii="Aptos" w:eastAsia="Times New Roman" w:hAnsi="Aptos" w:cstheme="minorHAnsi"/>
          <w:color w:val="002060"/>
        </w:rPr>
      </w:pPr>
      <w:r w:rsidRPr="00C34873">
        <w:rPr>
          <w:rFonts w:ascii="Aptos" w:eastAsia="Times New Roman" w:hAnsi="Aptos" w:cstheme="minorHAnsi"/>
          <w:color w:val="002060"/>
        </w:rPr>
        <w:t xml:space="preserve">As </w:t>
      </w:r>
      <w:proofErr w:type="spellStart"/>
      <w:r w:rsidRPr="00C34873">
        <w:rPr>
          <w:rFonts w:ascii="Aptos" w:eastAsia="Times New Roman" w:hAnsi="Aptos" w:cstheme="minorHAnsi"/>
          <w:color w:val="002060"/>
        </w:rPr>
        <w:t>ESG</w:t>
      </w:r>
      <w:proofErr w:type="spellEnd"/>
      <w:r w:rsidRPr="00C34873">
        <w:rPr>
          <w:rFonts w:ascii="Aptos" w:eastAsia="Times New Roman" w:hAnsi="Aptos" w:cstheme="minorHAnsi"/>
          <w:color w:val="002060"/>
        </w:rPr>
        <w:t xml:space="preserve"> has become a prerequisite in the investment strategies of many multinational corporations, </w:t>
      </w:r>
      <w:proofErr w:type="spellStart"/>
      <w:r w:rsidRPr="00C34873">
        <w:rPr>
          <w:rFonts w:ascii="Aptos" w:eastAsia="Times New Roman" w:hAnsi="Aptos" w:cstheme="minorHAnsi"/>
          <w:color w:val="002060"/>
        </w:rPr>
        <w:t>AP5IP’s</w:t>
      </w:r>
      <w:proofErr w:type="spellEnd"/>
      <w:r w:rsidRPr="00C34873">
        <w:rPr>
          <w:rFonts w:ascii="Aptos" w:eastAsia="Times New Roman" w:hAnsi="Aptos" w:cstheme="minorHAnsi"/>
          <w:color w:val="002060"/>
        </w:rPr>
        <w:t xml:space="preserve"> development model is closely aligned with the expectations of foreign-invested enterprises, particularly high-tech companies, supporting industries, and manufacturers with stringent sustainability requirements.</w:t>
      </w:r>
    </w:p>
    <w:p w14:paraId="4F9FF487" w14:textId="77777777" w:rsidR="00C34873" w:rsidRPr="00C34873" w:rsidRDefault="00C34873" w:rsidP="00C34873">
      <w:pPr>
        <w:spacing w:line="288" w:lineRule="auto"/>
        <w:jc w:val="both"/>
        <w:rPr>
          <w:rFonts w:ascii="Aptos" w:eastAsia="Times New Roman" w:hAnsi="Aptos" w:cstheme="minorHAnsi"/>
          <w:color w:val="002060"/>
        </w:rPr>
      </w:pPr>
      <w:r w:rsidRPr="00C34873">
        <w:rPr>
          <w:rFonts w:ascii="Aptos" w:eastAsia="Times New Roman" w:hAnsi="Aptos" w:cstheme="minorHAnsi"/>
          <w:color w:val="002060"/>
        </w:rPr>
        <w:t xml:space="preserve">In line with Hai Phong’s development orientation, the industrial park will </w:t>
      </w:r>
      <w:proofErr w:type="spellStart"/>
      <w:r w:rsidRPr="00C34873">
        <w:rPr>
          <w:rFonts w:ascii="Aptos" w:eastAsia="Times New Roman" w:hAnsi="Aptos" w:cstheme="minorHAnsi"/>
          <w:color w:val="002060"/>
        </w:rPr>
        <w:t>prioritise</w:t>
      </w:r>
      <w:proofErr w:type="spellEnd"/>
      <w:r w:rsidRPr="00C34873">
        <w:rPr>
          <w:rFonts w:ascii="Aptos" w:eastAsia="Times New Roman" w:hAnsi="Aptos" w:cstheme="minorHAnsi"/>
          <w:color w:val="002060"/>
        </w:rPr>
        <w:t xml:space="preserve"> high-tech, low-emission supporting industries, including electronic components, IT, and environmentally friendly light </w:t>
      </w:r>
      <w:proofErr w:type="spellStart"/>
      <w:r w:rsidRPr="00C34873">
        <w:rPr>
          <w:rFonts w:ascii="Aptos" w:eastAsia="Times New Roman" w:hAnsi="Aptos" w:cstheme="minorHAnsi"/>
          <w:color w:val="002060"/>
        </w:rPr>
        <w:t>manufacturing.Its</w:t>
      </w:r>
      <w:proofErr w:type="spellEnd"/>
      <w:r w:rsidRPr="00C34873">
        <w:rPr>
          <w:rFonts w:ascii="Aptos" w:eastAsia="Times New Roman" w:hAnsi="Aptos" w:cstheme="minorHAnsi"/>
          <w:color w:val="002060"/>
        </w:rPr>
        <w:t xml:space="preserve"> infrastructure includes an internal transport network, a water supply system with a capacity of about 6,000 cubic </w:t>
      </w:r>
      <w:proofErr w:type="spellStart"/>
      <w:r w:rsidRPr="00C34873">
        <w:rPr>
          <w:rFonts w:ascii="Aptos" w:eastAsia="Times New Roman" w:hAnsi="Aptos" w:cstheme="minorHAnsi"/>
          <w:color w:val="002060"/>
        </w:rPr>
        <w:t>metres</w:t>
      </w:r>
      <w:proofErr w:type="spellEnd"/>
      <w:r w:rsidRPr="00C34873">
        <w:rPr>
          <w:rFonts w:ascii="Aptos" w:eastAsia="Times New Roman" w:hAnsi="Aptos" w:cstheme="minorHAnsi"/>
          <w:color w:val="002060"/>
        </w:rPr>
        <w:t xml:space="preserve"> per day, a wastewater treatment system capable of handling 3,200 </w:t>
      </w:r>
      <w:proofErr w:type="spellStart"/>
      <w:r w:rsidRPr="00C34873">
        <w:rPr>
          <w:rFonts w:ascii="Aptos" w:eastAsia="Times New Roman" w:hAnsi="Aptos" w:cstheme="minorHAnsi"/>
          <w:color w:val="002060"/>
        </w:rPr>
        <w:t>cu.m</w:t>
      </w:r>
      <w:proofErr w:type="spellEnd"/>
      <w:r w:rsidRPr="00C34873">
        <w:rPr>
          <w:rFonts w:ascii="Aptos" w:eastAsia="Times New Roman" w:hAnsi="Aptos" w:cstheme="minorHAnsi"/>
          <w:color w:val="002060"/>
        </w:rPr>
        <w:t xml:space="preserve"> per day, and a modern power system with substations and underground networks, designed to support stable, long-term manufacturing operations.</w:t>
      </w:r>
    </w:p>
    <w:p w14:paraId="3841ED62" w14:textId="77777777" w:rsidR="00C34873" w:rsidRPr="00C34873" w:rsidRDefault="00C34873" w:rsidP="00C34873">
      <w:pPr>
        <w:spacing w:after="225" w:line="288" w:lineRule="auto"/>
        <w:jc w:val="both"/>
        <w:rPr>
          <w:rFonts w:ascii="Aptos" w:eastAsia="Times New Roman" w:hAnsi="Aptos" w:cstheme="minorHAnsi"/>
          <w:color w:val="002060"/>
        </w:rPr>
      </w:pPr>
      <w:r w:rsidRPr="00C34873">
        <w:rPr>
          <w:rFonts w:ascii="Aptos" w:eastAsia="Times New Roman" w:hAnsi="Aptos" w:cstheme="minorHAnsi"/>
          <w:color w:val="002060"/>
        </w:rPr>
        <w:t>In addition to technical infrastructure, investors in the park will also benefit from investment incentives in accordance with prevailing regulations. They can also receive support through a 'one-stop' service mechanism, from legal consulting and administrative procedures to value-added services such as logistics and industrial catering. The system leverages the multi-sector ecosystem of APH to shorten implementation time.</w:t>
      </w:r>
    </w:p>
    <w:p w14:paraId="3B1C2CB7" w14:textId="6CE9FCF8" w:rsidR="002B20E1" w:rsidRPr="00C34873" w:rsidRDefault="00C34873" w:rsidP="00C34873">
      <w:pPr>
        <w:spacing w:line="288" w:lineRule="auto"/>
        <w:jc w:val="both"/>
        <w:rPr>
          <w:rFonts w:ascii="Aptos" w:eastAsia="Times New Roman" w:hAnsi="Aptos" w:cstheme="minorHAnsi"/>
          <w:color w:val="002060"/>
        </w:rPr>
      </w:pPr>
      <w:r w:rsidRPr="00C34873">
        <w:rPr>
          <w:rFonts w:ascii="Aptos" w:eastAsia="Times New Roman" w:hAnsi="Aptos" w:cstheme="minorHAnsi"/>
          <w:color w:val="002060"/>
        </w:rPr>
        <w:t>According to the schedule, the investor will build the industrial park infrastructure from April 2025 to December 2026. By the second quarter of 2026, clean land plots can be handed over to tenants for factory construction, enabling them to commence production and business operations.</w:t>
      </w:r>
    </w:p>
    <w:p w14:paraId="5BBA1B95" w14:textId="77777777" w:rsidR="00852DFC" w:rsidRPr="00C34873" w:rsidRDefault="00852DFC" w:rsidP="00C34873">
      <w:pPr>
        <w:spacing w:line="288" w:lineRule="auto"/>
        <w:jc w:val="both"/>
        <w:rPr>
          <w:rStyle w:val="Hyperlink"/>
          <w:rFonts w:ascii="Aptos" w:eastAsia="Malgun Gothic" w:hAnsi="Aptos" w:cstheme="minorHAnsi"/>
          <w:color w:val="002060"/>
        </w:rPr>
      </w:pPr>
    </w:p>
    <w:bookmarkStart w:id="1104" w:name="_Toc150433306"/>
    <w:bookmarkStart w:id="1105" w:name="_Toc151040605"/>
    <w:bookmarkStart w:id="1106" w:name="_Toc151645186"/>
    <w:bookmarkStart w:id="1107" w:name="_Toc152248771"/>
    <w:bookmarkStart w:id="1108" w:name="_Toc153458096"/>
    <w:bookmarkStart w:id="1109" w:name="_Toc154061711"/>
    <w:bookmarkStart w:id="1110" w:name="_Toc185497345"/>
    <w:bookmarkStart w:id="1111" w:name="_Toc186722702"/>
    <w:bookmarkStart w:id="1112" w:name="_Toc187326028"/>
    <w:bookmarkStart w:id="1113" w:name="_Toc187919327"/>
    <w:bookmarkStart w:id="1114" w:name="_Toc188519320"/>
    <w:bookmarkStart w:id="1115" w:name="_Toc189746412"/>
    <w:bookmarkStart w:id="1116" w:name="_Toc190348434"/>
    <w:bookmarkStart w:id="1117" w:name="_Toc190954019"/>
    <w:bookmarkStart w:id="1118" w:name="_Toc191559705"/>
    <w:bookmarkStart w:id="1119" w:name="_Toc192153156"/>
    <w:bookmarkStart w:id="1120" w:name="_Toc192767040"/>
    <w:bookmarkStart w:id="1121" w:name="_Toc193361548"/>
    <w:bookmarkStart w:id="1122" w:name="_Toc193977740"/>
    <w:bookmarkStart w:id="1123" w:name="_Toc194671403"/>
    <w:bookmarkStart w:id="1124" w:name="_Toc195192240"/>
    <w:bookmarkStart w:id="1125" w:name="_Toc195795581"/>
    <w:bookmarkStart w:id="1126" w:name="_Toc196395808"/>
    <w:bookmarkStart w:id="1127" w:name="_Toc197596767"/>
    <w:bookmarkStart w:id="1128" w:name="_Toc198210656"/>
    <w:bookmarkStart w:id="1129" w:name="_Toc198816072"/>
    <w:bookmarkStart w:id="1130" w:name="_Toc199419434"/>
    <w:bookmarkStart w:id="1131" w:name="_Toc200013609"/>
    <w:bookmarkStart w:id="1132" w:name="_Toc200628582"/>
    <w:bookmarkStart w:id="1133" w:name="_Toc201837364"/>
    <w:bookmarkStart w:id="1134" w:name="_Toc202445702"/>
    <w:bookmarkStart w:id="1135" w:name="_Toc203047566"/>
    <w:bookmarkStart w:id="1136" w:name="_Toc203655869"/>
    <w:bookmarkStart w:id="1137" w:name="_Toc204262807"/>
    <w:bookmarkStart w:id="1138" w:name="_Toc204862966"/>
    <w:bookmarkStart w:id="1139" w:name="_Toc205466596"/>
    <w:bookmarkStart w:id="1140" w:name="_Toc206074512"/>
    <w:bookmarkStart w:id="1141" w:name="_Toc207184407"/>
    <w:bookmarkStart w:id="1142" w:name="_Toc207888613"/>
    <w:bookmarkStart w:id="1143" w:name="_Toc208493636"/>
    <w:bookmarkStart w:id="1144" w:name="_Toc208493714"/>
    <w:bookmarkStart w:id="1145" w:name="_Toc209099457"/>
    <w:bookmarkStart w:id="1146" w:name="_Toc209702686"/>
    <w:bookmarkStart w:id="1147"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CC3DC8D" w14:textId="77777777" w:rsidR="002632D8" w:rsidRPr="004C6CBE" w:rsidRDefault="002632D8" w:rsidP="0061536E">
      <w:pPr>
        <w:spacing w:line="288" w:lineRule="auto"/>
        <w:jc w:val="right"/>
        <w:rPr>
          <w:rStyle w:val="Hyperlink"/>
          <w:rFonts w:ascii="Aptos" w:eastAsia="Malgun Gothic" w:hAnsi="Aptos" w:cs="Times New Roman"/>
          <w:color w:val="002060"/>
        </w:rPr>
      </w:pPr>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52689A5B" w14:textId="77777777" w:rsidR="00B24D0A" w:rsidRDefault="00B24D0A" w:rsidP="004F381D">
      <w:pPr>
        <w:pStyle w:val="Heading1"/>
        <w:shd w:val="clear" w:color="auto" w:fill="FFFFFF"/>
        <w:spacing w:before="0" w:line="288" w:lineRule="atLeast"/>
        <w:rPr>
          <w:rFonts w:ascii="Aptos" w:eastAsia="Malgun Gothic" w:hAnsi="Aptos" w:cs="Times New Roman"/>
          <w:color w:val="002060"/>
        </w:rPr>
      </w:pPr>
      <w:bookmarkStart w:id="1148" w:name="_Toc210911926"/>
      <w:bookmarkStart w:id="1149" w:name="_Toc210912018"/>
      <w:bookmarkStart w:id="1150" w:name="_Toc211518249"/>
      <w:bookmarkStart w:id="1151" w:name="_Toc212118933"/>
      <w:bookmarkStart w:id="1152" w:name="_Toc212726924"/>
      <w:bookmarkStart w:id="1153" w:name="_Toc213334262"/>
      <w:bookmarkStart w:id="1154" w:name="_Toc213924610"/>
      <w:bookmarkStart w:id="1155" w:name="_Toc214539951"/>
      <w:bookmarkStart w:id="1156" w:name="_Toc215144387"/>
      <w:bookmarkStart w:id="1157" w:name="_Toc215750966"/>
      <w:bookmarkStart w:id="1158" w:name="_Toc216355062"/>
      <w:bookmarkStart w:id="1159" w:name="_Toc216965812"/>
    </w:p>
    <w:p w14:paraId="23D4DA5E" w14:textId="12A37F5E"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60" w:name="_Toc217639133"/>
      <w:bookmarkStart w:id="1161" w:name="_Toc218772685"/>
      <w:bookmarkStart w:id="1162" w:name="_Toc219377450"/>
      <w:bookmarkStart w:id="1163" w:name="_Toc219985606"/>
      <w:bookmarkStart w:id="1164" w:name="_Toc220587264"/>
      <w:proofErr w:type="spellStart"/>
      <w:r w:rsidRPr="004C6CBE">
        <w:rPr>
          <w:rFonts w:ascii="Aptos" w:eastAsia="Malgun Gothic" w:hAnsi="Aptos" w:cs="Times New Roman"/>
          <w:color w:val="002060"/>
        </w:rPr>
        <w:t>OIL&amp;GAS&amp;</w:t>
      </w:r>
      <w:hyperlink r:id="rId10"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sidRPr="004C6CBE">
        <w:rPr>
          <w:rFonts w:ascii="Aptos" w:eastAsia="Malgun Gothic" w:hAnsi="Aptos" w:cs="Times New Roman"/>
          <w:color w:val="002060"/>
        </w:rPr>
        <w:t>G</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roofErr w:type="spellEnd"/>
    </w:p>
    <w:p w14:paraId="54A2F235" w14:textId="77777777" w:rsidR="00DD3A87" w:rsidRPr="00AE3070" w:rsidRDefault="00DD3A87" w:rsidP="00DD3A87">
      <w:pPr>
        <w:spacing w:after="161" w:line="240" w:lineRule="auto"/>
        <w:outlineLvl w:val="0"/>
        <w:rPr>
          <w:rFonts w:ascii="Times New Roman" w:eastAsia="Times New Roman" w:hAnsi="Times New Roman" w:cs="Times New Roman"/>
          <w:color w:val="000000"/>
          <w:kern w:val="36"/>
          <w:sz w:val="44"/>
          <w:szCs w:val="44"/>
        </w:rPr>
      </w:pPr>
      <w:bookmarkStart w:id="1165" w:name="_Toc203655872"/>
      <w:bookmarkStart w:id="1166" w:name="_Toc204262810"/>
      <w:bookmarkStart w:id="1167" w:name="_Toc204862970"/>
      <w:bookmarkStart w:id="1168" w:name="_Toc205466601"/>
      <w:bookmarkStart w:id="1169" w:name="_Toc206074516"/>
      <w:bookmarkStart w:id="1170" w:name="_Toc203047572"/>
      <w:bookmarkEnd w:id="1058"/>
      <w:bookmarkEnd w:id="1059"/>
      <w:bookmarkEnd w:id="1060"/>
      <w:bookmarkEnd w:id="1061"/>
      <w:bookmarkEnd w:id="1062"/>
      <w:bookmarkEnd w:id="1063"/>
      <w:bookmarkEnd w:id="1064"/>
      <w:bookmarkEnd w:id="1065"/>
    </w:p>
    <w:p w14:paraId="6153D86F" w14:textId="77777777" w:rsidR="00606C5A" w:rsidRPr="00AE3070" w:rsidRDefault="00606C5A" w:rsidP="009D7BF1">
      <w:pPr>
        <w:spacing w:after="161" w:line="288" w:lineRule="auto"/>
        <w:jc w:val="both"/>
        <w:outlineLvl w:val="0"/>
        <w:rPr>
          <w:rFonts w:ascii="Aptos" w:eastAsia="Times New Roman" w:hAnsi="Aptos" w:cs="Times New Roman"/>
          <w:b/>
          <w:bCs/>
          <w:color w:val="002060"/>
          <w:kern w:val="36"/>
          <w:sz w:val="24"/>
          <w:szCs w:val="24"/>
        </w:rPr>
      </w:pPr>
      <w:bookmarkStart w:id="1171" w:name="_Toc220587265"/>
      <w:r w:rsidRPr="00AE3070">
        <w:rPr>
          <w:rFonts w:ascii="Aptos" w:eastAsia="Times New Roman" w:hAnsi="Aptos" w:cs="Times New Roman"/>
          <w:b/>
          <w:bCs/>
          <w:color w:val="002060"/>
          <w:kern w:val="36"/>
          <w:sz w:val="24"/>
          <w:szCs w:val="24"/>
        </w:rPr>
        <w:t>64,000 hectares of sea allocated for offshore wind surveys</w:t>
      </w:r>
      <w:bookmarkEnd w:id="1171"/>
    </w:p>
    <w:p w14:paraId="65454AEA" w14:textId="67C75C32" w:rsidR="00606C5A" w:rsidRPr="009D7BF1" w:rsidRDefault="009D7BF1" w:rsidP="009D7BF1">
      <w:pPr>
        <w:spacing w:after="150" w:line="288" w:lineRule="auto"/>
        <w:jc w:val="both"/>
        <w:rPr>
          <w:rFonts w:ascii="Aptos" w:eastAsia="Times New Roman" w:hAnsi="Aptos" w:cs="Times New Roman"/>
          <w:i/>
          <w:iCs/>
          <w:color w:val="002060"/>
          <w:sz w:val="18"/>
          <w:szCs w:val="18"/>
        </w:rPr>
      </w:pPr>
      <w:r w:rsidRPr="009D7BF1">
        <w:rPr>
          <w:rFonts w:ascii="Aptos" w:eastAsia="Times New Roman" w:hAnsi="Aptos" w:cs="Times New Roman"/>
          <w:i/>
          <w:iCs/>
          <w:color w:val="002060"/>
          <w:sz w:val="18"/>
          <w:szCs w:val="18"/>
        </w:rPr>
        <w:t>VIR</w:t>
      </w:r>
    </w:p>
    <w:p w14:paraId="45BD62FB" w14:textId="77777777" w:rsidR="009D7BF1" w:rsidRPr="00606C5A" w:rsidRDefault="009D7BF1" w:rsidP="009D7BF1">
      <w:pPr>
        <w:spacing w:after="150" w:line="288" w:lineRule="auto"/>
        <w:jc w:val="both"/>
        <w:rPr>
          <w:rFonts w:ascii="Aptos" w:eastAsia="Times New Roman" w:hAnsi="Aptos" w:cs="Times New Roman"/>
          <w:color w:val="002060"/>
        </w:rPr>
      </w:pPr>
    </w:p>
    <w:p w14:paraId="2E57D458" w14:textId="77777777" w:rsidR="00606C5A" w:rsidRPr="00606C5A" w:rsidRDefault="00606C5A" w:rsidP="009D7BF1">
      <w:pPr>
        <w:spacing w:after="150" w:line="288" w:lineRule="auto"/>
        <w:jc w:val="both"/>
        <w:rPr>
          <w:rFonts w:ascii="Aptos" w:eastAsia="Times New Roman" w:hAnsi="Aptos" w:cs="Times New Roman"/>
          <w:color w:val="002060"/>
        </w:rPr>
      </w:pPr>
      <w:r w:rsidRPr="00606C5A">
        <w:rPr>
          <w:rFonts w:ascii="Aptos" w:eastAsia="Times New Roman" w:hAnsi="Aptos" w:cs="Times New Roman"/>
          <w:color w:val="002060"/>
        </w:rPr>
        <w:t>The Ministry of Agriculture and Environment has allocated over 63,800 hectares of sea area in Haiphong and Lam Dong to Vietnam Electricity (</w:t>
      </w:r>
      <w:proofErr w:type="spellStart"/>
      <w:r w:rsidRPr="00606C5A">
        <w:rPr>
          <w:rFonts w:ascii="Aptos" w:eastAsia="Times New Roman" w:hAnsi="Aptos" w:cs="Times New Roman"/>
          <w:color w:val="002060"/>
        </w:rPr>
        <w:t>EVN</w:t>
      </w:r>
      <w:proofErr w:type="spellEnd"/>
      <w:r w:rsidRPr="00606C5A">
        <w:rPr>
          <w:rFonts w:ascii="Aptos" w:eastAsia="Times New Roman" w:hAnsi="Aptos" w:cs="Times New Roman"/>
          <w:color w:val="002060"/>
        </w:rPr>
        <w:t>) and Vietnam National Industry - Energy Group (</w:t>
      </w:r>
      <w:proofErr w:type="spellStart"/>
      <w:r w:rsidRPr="00606C5A">
        <w:rPr>
          <w:rFonts w:ascii="Aptos" w:eastAsia="Times New Roman" w:hAnsi="Aptos" w:cs="Times New Roman"/>
          <w:color w:val="002060"/>
        </w:rPr>
        <w:t>Petrovietnam</w:t>
      </w:r>
      <w:proofErr w:type="spellEnd"/>
      <w:r w:rsidRPr="00606C5A">
        <w:rPr>
          <w:rFonts w:ascii="Aptos" w:eastAsia="Times New Roman" w:hAnsi="Aptos" w:cs="Times New Roman"/>
          <w:color w:val="002060"/>
        </w:rPr>
        <w:t>) for surveying offshore wind power ventures.</w:t>
      </w:r>
    </w:p>
    <w:p w14:paraId="0AAD618A" w14:textId="77777777" w:rsidR="00606C5A" w:rsidRPr="00606C5A" w:rsidRDefault="00606C5A" w:rsidP="009D7BF1">
      <w:pPr>
        <w:spacing w:after="225" w:line="288" w:lineRule="auto"/>
        <w:jc w:val="both"/>
        <w:rPr>
          <w:rFonts w:ascii="Aptos" w:eastAsia="Times New Roman" w:hAnsi="Aptos" w:cs="Times New Roman"/>
          <w:color w:val="002060"/>
        </w:rPr>
      </w:pPr>
      <w:r w:rsidRPr="00606C5A">
        <w:rPr>
          <w:rFonts w:ascii="Aptos" w:eastAsia="Times New Roman" w:hAnsi="Aptos" w:cs="Times New Roman"/>
          <w:color w:val="002060"/>
        </w:rPr>
        <w:t xml:space="preserve">According to the ministry, </w:t>
      </w:r>
      <w:proofErr w:type="spellStart"/>
      <w:r w:rsidRPr="00606C5A">
        <w:rPr>
          <w:rFonts w:ascii="Aptos" w:eastAsia="Times New Roman" w:hAnsi="Aptos" w:cs="Times New Roman"/>
          <w:color w:val="002060"/>
        </w:rPr>
        <w:t>EVN</w:t>
      </w:r>
      <w:proofErr w:type="spellEnd"/>
      <w:r w:rsidRPr="00606C5A">
        <w:rPr>
          <w:rFonts w:ascii="Aptos" w:eastAsia="Times New Roman" w:hAnsi="Aptos" w:cs="Times New Roman"/>
          <w:color w:val="002060"/>
        </w:rPr>
        <w:t xml:space="preserve"> and </w:t>
      </w:r>
      <w:proofErr w:type="spellStart"/>
      <w:r w:rsidRPr="00606C5A">
        <w:rPr>
          <w:rFonts w:ascii="Aptos" w:eastAsia="Times New Roman" w:hAnsi="Aptos" w:cs="Times New Roman"/>
          <w:color w:val="002060"/>
        </w:rPr>
        <w:t>Petrovietnam</w:t>
      </w:r>
      <w:proofErr w:type="spellEnd"/>
      <w:r w:rsidRPr="00606C5A">
        <w:rPr>
          <w:rFonts w:ascii="Aptos" w:eastAsia="Times New Roman" w:hAnsi="Aptos" w:cs="Times New Roman"/>
          <w:color w:val="002060"/>
        </w:rPr>
        <w:t xml:space="preserve"> were assigned sea areas for surveying without having to pay sea use fees, with a survey period of 36 months.</w:t>
      </w:r>
    </w:p>
    <w:p w14:paraId="3883AA86" w14:textId="77777777" w:rsidR="00606C5A" w:rsidRPr="00606C5A" w:rsidRDefault="00606C5A" w:rsidP="009D7BF1">
      <w:pPr>
        <w:spacing w:after="225" w:line="288" w:lineRule="auto"/>
        <w:jc w:val="both"/>
        <w:rPr>
          <w:rFonts w:ascii="Aptos" w:eastAsia="Times New Roman" w:hAnsi="Aptos" w:cs="Times New Roman"/>
          <w:color w:val="002060"/>
        </w:rPr>
      </w:pPr>
      <w:proofErr w:type="spellStart"/>
      <w:r w:rsidRPr="00606C5A">
        <w:rPr>
          <w:rFonts w:ascii="Aptos" w:eastAsia="Times New Roman" w:hAnsi="Aptos" w:cs="Times New Roman"/>
          <w:color w:val="002060"/>
        </w:rPr>
        <w:lastRenderedPageBreak/>
        <w:t>EVN</w:t>
      </w:r>
      <w:proofErr w:type="spellEnd"/>
      <w:r w:rsidRPr="00606C5A">
        <w:rPr>
          <w:rFonts w:ascii="Aptos" w:eastAsia="Times New Roman" w:hAnsi="Aptos" w:cs="Times New Roman"/>
          <w:color w:val="002060"/>
        </w:rPr>
        <w:t xml:space="preserve"> has been granted </w:t>
      </w:r>
      <w:proofErr w:type="spellStart"/>
      <w:r w:rsidRPr="00606C5A">
        <w:rPr>
          <w:rFonts w:ascii="Aptos" w:eastAsia="Times New Roman" w:hAnsi="Aptos" w:cs="Times New Roman"/>
          <w:color w:val="002060"/>
        </w:rPr>
        <w:t>24,000ha</w:t>
      </w:r>
      <w:proofErr w:type="spellEnd"/>
      <w:r w:rsidRPr="00606C5A">
        <w:rPr>
          <w:rFonts w:ascii="Aptos" w:eastAsia="Times New Roman" w:hAnsi="Aptos" w:cs="Times New Roman"/>
          <w:color w:val="002060"/>
        </w:rPr>
        <w:t xml:space="preserve"> of sea area offshore the Long Chau archipelago and Bach Long Vi Island to conduct measurements for the Bac Bo 1.3 and Bac Bo </w:t>
      </w:r>
      <w:hyperlink r:id="rId11" w:history="1">
        <w:r w:rsidRPr="00606C5A">
          <w:rPr>
            <w:rFonts w:ascii="Aptos" w:eastAsia="Times New Roman" w:hAnsi="Aptos" w:cs="Times New Roman"/>
            <w:color w:val="002060"/>
            <w:u w:val="single"/>
          </w:rPr>
          <w:t>offshore wind (OSW) power ventures</w:t>
        </w:r>
      </w:hyperlink>
      <w:r w:rsidRPr="00606C5A">
        <w:rPr>
          <w:rFonts w:ascii="Aptos" w:eastAsia="Times New Roman" w:hAnsi="Aptos" w:cs="Times New Roman"/>
          <w:color w:val="002060"/>
        </w:rPr>
        <w:t>.</w:t>
      </w:r>
    </w:p>
    <w:p w14:paraId="2E31A3C8" w14:textId="77777777" w:rsidR="00606C5A" w:rsidRPr="00606C5A" w:rsidRDefault="00606C5A" w:rsidP="009D7BF1">
      <w:pPr>
        <w:spacing w:after="225" w:line="288" w:lineRule="auto"/>
        <w:jc w:val="both"/>
        <w:rPr>
          <w:rFonts w:ascii="Aptos" w:eastAsia="Times New Roman" w:hAnsi="Aptos" w:cs="Times New Roman"/>
          <w:color w:val="002060"/>
        </w:rPr>
      </w:pPr>
      <w:r w:rsidRPr="00606C5A">
        <w:rPr>
          <w:rFonts w:ascii="Aptos" w:eastAsia="Times New Roman" w:hAnsi="Aptos" w:cs="Times New Roman"/>
          <w:color w:val="002060"/>
        </w:rPr>
        <w:t xml:space="preserve">Meanwhile, </w:t>
      </w:r>
      <w:proofErr w:type="spellStart"/>
      <w:r w:rsidRPr="00606C5A">
        <w:rPr>
          <w:rFonts w:ascii="Aptos" w:eastAsia="Times New Roman" w:hAnsi="Aptos" w:cs="Times New Roman"/>
          <w:color w:val="002060"/>
        </w:rPr>
        <w:t>PVN</w:t>
      </w:r>
      <w:proofErr w:type="spellEnd"/>
      <w:r w:rsidRPr="00606C5A">
        <w:rPr>
          <w:rFonts w:ascii="Aptos" w:eastAsia="Times New Roman" w:hAnsi="Aptos" w:cs="Times New Roman"/>
          <w:color w:val="002060"/>
        </w:rPr>
        <w:t xml:space="preserve"> has been assigned over </w:t>
      </w:r>
      <w:proofErr w:type="spellStart"/>
      <w:r w:rsidRPr="00606C5A">
        <w:rPr>
          <w:rFonts w:ascii="Aptos" w:eastAsia="Times New Roman" w:hAnsi="Aptos" w:cs="Times New Roman"/>
          <w:color w:val="002060"/>
        </w:rPr>
        <w:t>39,800ha</w:t>
      </w:r>
      <w:proofErr w:type="spellEnd"/>
      <w:r w:rsidRPr="00606C5A">
        <w:rPr>
          <w:rFonts w:ascii="Aptos" w:eastAsia="Times New Roman" w:hAnsi="Aptos" w:cs="Times New Roman"/>
          <w:color w:val="002060"/>
        </w:rPr>
        <w:t xml:space="preserve"> offshore Lam Dong province to conduct surveys for the Nam Trung Bo 1 OSW power venture.</w:t>
      </w:r>
    </w:p>
    <w:p w14:paraId="416505F9" w14:textId="77777777" w:rsidR="00606C5A" w:rsidRPr="00606C5A" w:rsidRDefault="00606C5A" w:rsidP="009D7BF1">
      <w:pPr>
        <w:spacing w:after="225" w:line="288" w:lineRule="auto"/>
        <w:jc w:val="both"/>
        <w:rPr>
          <w:rFonts w:ascii="Aptos" w:eastAsia="Times New Roman" w:hAnsi="Aptos" w:cs="Times New Roman"/>
          <w:color w:val="002060"/>
        </w:rPr>
      </w:pPr>
      <w:r w:rsidRPr="00606C5A">
        <w:rPr>
          <w:rFonts w:ascii="Aptos" w:eastAsia="Times New Roman" w:hAnsi="Aptos" w:cs="Times New Roman"/>
          <w:color w:val="002060"/>
        </w:rPr>
        <w:t>The allocation of sea areas for surveys is the starting point for OSW power development, creating a legal basis for data collection, natural condition assessment, feasibility studies, and investment planning. Thus, the regulatory body can exercise more effective control over marine space while reducing overlaps with other exploitation use</w:t>
      </w:r>
    </w:p>
    <w:p w14:paraId="5BA304E3" w14:textId="77777777" w:rsidR="00606C5A" w:rsidRPr="00606C5A" w:rsidRDefault="00606C5A" w:rsidP="009D7BF1">
      <w:pPr>
        <w:spacing w:after="225" w:line="288" w:lineRule="auto"/>
        <w:jc w:val="both"/>
        <w:rPr>
          <w:rFonts w:ascii="Aptos" w:eastAsia="Times New Roman" w:hAnsi="Aptos" w:cs="Times New Roman"/>
          <w:color w:val="002060"/>
        </w:rPr>
      </w:pPr>
      <w:r w:rsidRPr="00606C5A">
        <w:rPr>
          <w:rFonts w:ascii="Aptos" w:eastAsia="Times New Roman" w:hAnsi="Aptos" w:cs="Times New Roman"/>
          <w:color w:val="002060"/>
        </w:rPr>
        <w:t xml:space="preserve">The ministry stipulates that </w:t>
      </w:r>
      <w:proofErr w:type="spellStart"/>
      <w:r w:rsidRPr="00606C5A">
        <w:rPr>
          <w:rFonts w:ascii="Aptos" w:eastAsia="Times New Roman" w:hAnsi="Aptos" w:cs="Times New Roman"/>
          <w:color w:val="002060"/>
        </w:rPr>
        <w:t>EVN</w:t>
      </w:r>
      <w:proofErr w:type="spellEnd"/>
      <w:r w:rsidRPr="00606C5A">
        <w:rPr>
          <w:rFonts w:ascii="Aptos" w:eastAsia="Times New Roman" w:hAnsi="Aptos" w:cs="Times New Roman"/>
          <w:color w:val="002060"/>
        </w:rPr>
        <w:t xml:space="preserve"> and </w:t>
      </w:r>
      <w:proofErr w:type="spellStart"/>
      <w:r w:rsidRPr="00606C5A">
        <w:rPr>
          <w:rFonts w:ascii="Aptos" w:eastAsia="Times New Roman" w:hAnsi="Aptos" w:cs="Times New Roman"/>
          <w:color w:val="002060"/>
        </w:rPr>
        <w:t>Petrovietanam</w:t>
      </w:r>
      <w:proofErr w:type="spellEnd"/>
      <w:r w:rsidRPr="00606C5A">
        <w:rPr>
          <w:rFonts w:ascii="Aptos" w:eastAsia="Times New Roman" w:hAnsi="Aptos" w:cs="Times New Roman"/>
          <w:color w:val="002060"/>
        </w:rPr>
        <w:t xml:space="preserve"> must not transfer, lease, mortgage, or contribute capital using sea-area use rights. The two enterprises must strictly adhere to regulations on national </w:t>
      </w:r>
      <w:proofErr w:type="spellStart"/>
      <w:r w:rsidRPr="00606C5A">
        <w:rPr>
          <w:rFonts w:ascii="Aptos" w:eastAsia="Times New Roman" w:hAnsi="Aptos" w:cs="Times New Roman"/>
          <w:color w:val="002060"/>
        </w:rPr>
        <w:t>defence</w:t>
      </w:r>
      <w:proofErr w:type="spellEnd"/>
      <w:r w:rsidRPr="00606C5A">
        <w:rPr>
          <w:rFonts w:ascii="Aptos" w:eastAsia="Times New Roman" w:hAnsi="Aptos" w:cs="Times New Roman"/>
          <w:color w:val="002060"/>
        </w:rPr>
        <w:t>, security, and environmental protection.</w:t>
      </w:r>
    </w:p>
    <w:p w14:paraId="17FF53BB" w14:textId="77777777" w:rsidR="00606C5A" w:rsidRPr="00606C5A" w:rsidRDefault="00606C5A" w:rsidP="009D7BF1">
      <w:pPr>
        <w:spacing w:after="225" w:line="288" w:lineRule="auto"/>
        <w:jc w:val="both"/>
        <w:rPr>
          <w:rFonts w:ascii="Aptos" w:eastAsia="Times New Roman" w:hAnsi="Aptos" w:cs="Times New Roman"/>
          <w:color w:val="002060"/>
        </w:rPr>
      </w:pPr>
      <w:r w:rsidRPr="00606C5A">
        <w:rPr>
          <w:rFonts w:ascii="Aptos" w:eastAsia="Times New Roman" w:hAnsi="Aptos" w:cs="Times New Roman"/>
          <w:color w:val="002060"/>
        </w:rPr>
        <w:t>In the event of pollution or coastal erosion, operations must be stopped immediately for remediation. If cultural heritage is discovered during the survey, it must be reported to the authorities for handling according to regulations.</w:t>
      </w:r>
    </w:p>
    <w:p w14:paraId="393BE98D" w14:textId="77777777" w:rsidR="00606C5A" w:rsidRPr="00606C5A" w:rsidRDefault="00606C5A" w:rsidP="009D7BF1">
      <w:pPr>
        <w:spacing w:after="225" w:line="288" w:lineRule="auto"/>
        <w:jc w:val="both"/>
        <w:rPr>
          <w:rFonts w:ascii="Aptos" w:eastAsia="Times New Roman" w:hAnsi="Aptos" w:cs="Times New Roman"/>
          <w:color w:val="002060"/>
        </w:rPr>
      </w:pPr>
      <w:r w:rsidRPr="00606C5A">
        <w:rPr>
          <w:rFonts w:ascii="Aptos" w:eastAsia="Times New Roman" w:hAnsi="Aptos" w:cs="Times New Roman"/>
          <w:color w:val="002060"/>
        </w:rPr>
        <w:t xml:space="preserve">In February 2025, Ministry of Industry and Trade proposed delaying the development of OSW power until after 2030, instead of the original target of about </w:t>
      </w:r>
      <w:proofErr w:type="spellStart"/>
      <w:r w:rsidRPr="00606C5A">
        <w:rPr>
          <w:rFonts w:ascii="Aptos" w:eastAsia="Times New Roman" w:hAnsi="Aptos" w:cs="Times New Roman"/>
          <w:color w:val="002060"/>
        </w:rPr>
        <w:t>6,000MW</w:t>
      </w:r>
      <w:proofErr w:type="spellEnd"/>
      <w:r w:rsidRPr="00606C5A">
        <w:rPr>
          <w:rFonts w:ascii="Aptos" w:eastAsia="Times New Roman" w:hAnsi="Aptos" w:cs="Times New Roman"/>
          <w:color w:val="002060"/>
        </w:rPr>
        <w:t xml:space="preserve"> in the next five years. The main reason was the high initial investment costs of around $60–70 billion. However, the Standing Committee of the Government instructed the ministry not to delay the development schedule for these initiatives.</w:t>
      </w:r>
    </w:p>
    <w:p w14:paraId="4A7B9E0A" w14:textId="77777777" w:rsidR="00606C5A" w:rsidRPr="00606C5A" w:rsidRDefault="00606C5A" w:rsidP="009D7BF1">
      <w:pPr>
        <w:spacing w:line="288" w:lineRule="auto"/>
        <w:jc w:val="both"/>
        <w:rPr>
          <w:rFonts w:ascii="Aptos" w:eastAsia="Times New Roman" w:hAnsi="Aptos" w:cs="Times New Roman"/>
          <w:color w:val="002060"/>
        </w:rPr>
      </w:pPr>
      <w:r w:rsidRPr="00606C5A">
        <w:rPr>
          <w:rFonts w:ascii="Aptos" w:eastAsia="Times New Roman" w:hAnsi="Aptos" w:cs="Times New Roman"/>
          <w:color w:val="002060"/>
        </w:rPr>
        <w:t xml:space="preserve">According to Power Development Plan VIII, the country's OSW power capacity should reach </w:t>
      </w:r>
      <w:proofErr w:type="spellStart"/>
      <w:r w:rsidRPr="00606C5A">
        <w:rPr>
          <w:rFonts w:ascii="Aptos" w:eastAsia="Times New Roman" w:hAnsi="Aptos" w:cs="Times New Roman"/>
          <w:color w:val="002060"/>
        </w:rPr>
        <w:t>6,000MW</w:t>
      </w:r>
      <w:proofErr w:type="spellEnd"/>
      <w:r w:rsidRPr="00606C5A">
        <w:rPr>
          <w:rFonts w:ascii="Aptos" w:eastAsia="Times New Roman" w:hAnsi="Aptos" w:cs="Times New Roman"/>
          <w:color w:val="002060"/>
        </w:rPr>
        <w:t xml:space="preserve"> by 2030 and about </w:t>
      </w:r>
      <w:proofErr w:type="spellStart"/>
      <w:r w:rsidRPr="00606C5A">
        <w:rPr>
          <w:rFonts w:ascii="Aptos" w:eastAsia="Times New Roman" w:hAnsi="Aptos" w:cs="Times New Roman"/>
          <w:color w:val="002060"/>
        </w:rPr>
        <w:t>17,000MW</w:t>
      </w:r>
      <w:proofErr w:type="spellEnd"/>
      <w:r w:rsidRPr="00606C5A">
        <w:rPr>
          <w:rFonts w:ascii="Aptos" w:eastAsia="Times New Roman" w:hAnsi="Aptos" w:cs="Times New Roman"/>
          <w:color w:val="002060"/>
        </w:rPr>
        <w:t xml:space="preserve"> by 2035. By 2050, capacity is projected to reach 113,000-</w:t>
      </w:r>
      <w:proofErr w:type="spellStart"/>
      <w:r w:rsidRPr="00606C5A">
        <w:rPr>
          <w:rFonts w:ascii="Aptos" w:eastAsia="Times New Roman" w:hAnsi="Aptos" w:cs="Times New Roman"/>
          <w:color w:val="002060"/>
        </w:rPr>
        <w:t>139,000MW</w:t>
      </w:r>
      <w:proofErr w:type="spellEnd"/>
      <w:r w:rsidRPr="00606C5A">
        <w:rPr>
          <w:rFonts w:ascii="Aptos" w:eastAsia="Times New Roman" w:hAnsi="Aptos" w:cs="Times New Roman"/>
          <w:color w:val="002060"/>
        </w:rPr>
        <w:t>.</w:t>
      </w:r>
    </w:p>
    <w:p w14:paraId="39CF88FB" w14:textId="77777777" w:rsidR="007D1B3B" w:rsidRPr="009D7BF1" w:rsidRDefault="007D1B3B" w:rsidP="009D7BF1">
      <w:pPr>
        <w:spacing w:after="161" w:line="288" w:lineRule="auto"/>
        <w:jc w:val="both"/>
        <w:outlineLvl w:val="0"/>
        <w:rPr>
          <w:rFonts w:ascii="Aptos" w:eastAsia="Times New Roman" w:hAnsi="Aptos" w:cs="Times New Roman"/>
          <w:color w:val="002060"/>
          <w:kern w:val="36"/>
        </w:rPr>
      </w:pPr>
    </w:p>
    <w:bookmarkEnd w:id="1165"/>
    <w:bookmarkEnd w:id="1166"/>
    <w:bookmarkEnd w:id="1167"/>
    <w:bookmarkEnd w:id="1168"/>
    <w:bookmarkEnd w:id="1169"/>
    <w:bookmarkEnd w:id="1170"/>
    <w:p w14:paraId="7F45BB76" w14:textId="7F9ACDDB" w:rsidR="00684BD2" w:rsidRDefault="00DC36DD" w:rsidP="00684BD2">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62065F7D" w14:textId="77777777" w:rsidR="00557EB5" w:rsidRDefault="00557EB5" w:rsidP="00684BD2">
      <w:pPr>
        <w:spacing w:line="288" w:lineRule="auto"/>
        <w:jc w:val="right"/>
        <w:rPr>
          <w:rStyle w:val="Hyperlink"/>
          <w:rFonts w:ascii="Aptos" w:eastAsia="Malgun Gothic" w:hAnsi="Aptos" w:cs="Times New Roman"/>
          <w:color w:val="002060"/>
        </w:rPr>
      </w:pPr>
    </w:p>
    <w:p w14:paraId="349CE0B9" w14:textId="77777777" w:rsidR="00557EB5" w:rsidRPr="00557EB5" w:rsidRDefault="00557EB5" w:rsidP="00684BD2">
      <w:pPr>
        <w:spacing w:line="288" w:lineRule="auto"/>
        <w:jc w:val="right"/>
        <w:rPr>
          <w:rStyle w:val="Hyperlink"/>
          <w:rFonts w:ascii="Aptos" w:eastAsia="Malgun Gothic" w:hAnsi="Aptos" w:cs="Times New Roman"/>
          <w:b/>
          <w:bCs/>
          <w:color w:val="002060"/>
          <w:sz w:val="24"/>
          <w:szCs w:val="24"/>
        </w:rPr>
      </w:pPr>
    </w:p>
    <w:p w14:paraId="29DB38A3" w14:textId="77777777" w:rsidR="00557EB5" w:rsidRDefault="00557EB5" w:rsidP="00557EB5">
      <w:pPr>
        <w:spacing w:after="120" w:line="288" w:lineRule="auto"/>
        <w:jc w:val="both"/>
        <w:outlineLvl w:val="0"/>
        <w:rPr>
          <w:rFonts w:ascii="Aptos" w:eastAsia="Times New Roman" w:hAnsi="Aptos" w:cs="Times New Roman"/>
          <w:b/>
          <w:bCs/>
          <w:color w:val="002060"/>
          <w:kern w:val="36"/>
          <w:sz w:val="24"/>
          <w:szCs w:val="24"/>
        </w:rPr>
      </w:pPr>
      <w:bookmarkStart w:id="1172" w:name="_Toc220587266"/>
      <w:r w:rsidRPr="00557EB5">
        <w:rPr>
          <w:rFonts w:ascii="Aptos" w:eastAsia="Times New Roman" w:hAnsi="Aptos" w:cs="Times New Roman"/>
          <w:b/>
          <w:bCs/>
          <w:color w:val="002060"/>
          <w:kern w:val="36"/>
          <w:sz w:val="24"/>
          <w:szCs w:val="24"/>
        </w:rPr>
        <w:t>Proposed adjustments to the National Energy Master Plan.</w:t>
      </w:r>
      <w:bookmarkEnd w:id="1172"/>
    </w:p>
    <w:p w14:paraId="3ACBB757" w14:textId="09B976A1" w:rsidR="00557EB5" w:rsidRDefault="00557EB5" w:rsidP="00557EB5">
      <w:pPr>
        <w:spacing w:after="120" w:line="288" w:lineRule="auto"/>
        <w:jc w:val="both"/>
        <w:outlineLvl w:val="0"/>
        <w:rPr>
          <w:rFonts w:ascii="Aptos" w:eastAsia="Times New Roman" w:hAnsi="Aptos" w:cs="Times New Roman"/>
          <w:i/>
          <w:iCs/>
          <w:color w:val="002060"/>
          <w:kern w:val="36"/>
          <w:sz w:val="20"/>
          <w:szCs w:val="20"/>
        </w:rPr>
      </w:pPr>
      <w:bookmarkStart w:id="1173" w:name="_Toc220587267"/>
      <w:proofErr w:type="spellStart"/>
      <w:r w:rsidRPr="00557EB5">
        <w:rPr>
          <w:rFonts w:ascii="Aptos" w:eastAsia="Times New Roman" w:hAnsi="Aptos" w:cs="Times New Roman"/>
          <w:i/>
          <w:iCs/>
          <w:color w:val="002060"/>
          <w:kern w:val="36"/>
          <w:sz w:val="20"/>
          <w:szCs w:val="20"/>
        </w:rPr>
        <w:t>Chinhphu</w:t>
      </w:r>
      <w:bookmarkEnd w:id="1173"/>
      <w:proofErr w:type="spellEnd"/>
    </w:p>
    <w:p w14:paraId="08DF340D" w14:textId="77777777" w:rsidR="00557EB5" w:rsidRPr="00557EB5" w:rsidRDefault="00557EB5" w:rsidP="00557EB5">
      <w:pPr>
        <w:spacing w:after="120" w:line="288" w:lineRule="auto"/>
        <w:jc w:val="both"/>
        <w:outlineLvl w:val="0"/>
        <w:rPr>
          <w:rFonts w:ascii="Aptos" w:eastAsia="Times New Roman" w:hAnsi="Aptos" w:cs="Times New Roman"/>
          <w:i/>
          <w:iCs/>
          <w:color w:val="002060"/>
          <w:kern w:val="36"/>
          <w:sz w:val="20"/>
          <w:szCs w:val="20"/>
        </w:rPr>
      </w:pPr>
    </w:p>
    <w:p w14:paraId="541034A1"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hyperlink r:id="rId12" w:tgtFrame="_blank" w:tooltip="Ministry of Industry and Trade" w:history="1">
        <w:bookmarkStart w:id="1174" w:name="_Toc220587268"/>
        <w:r w:rsidRPr="00557EB5">
          <w:rPr>
            <w:rStyle w:val="Hyperlink"/>
            <w:rFonts w:ascii="Aptos" w:eastAsia="Times New Roman" w:hAnsi="Aptos" w:cs="Times New Roman"/>
            <w:color w:val="002060"/>
            <w:kern w:val="36"/>
            <w:u w:val="none"/>
          </w:rPr>
          <w:t>The Ministry of Industry and Trade</w:t>
        </w:r>
      </w:hyperlink>
      <w:r w:rsidRPr="00557EB5">
        <w:rPr>
          <w:rFonts w:ascii="Aptos" w:eastAsia="Times New Roman" w:hAnsi="Aptos" w:cs="Times New Roman"/>
          <w:color w:val="002060"/>
          <w:kern w:val="36"/>
        </w:rPr>
        <w:t> has proposed adjustments to the National Energy Master Plan for the period 2021-2030, with a vision to 2050.</w:t>
      </w:r>
      <w:bookmarkEnd w:id="1174"/>
    </w:p>
    <w:p w14:paraId="0CBFF15D"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75" w:name="_Toc220587269"/>
      <w:r w:rsidRPr="00557EB5">
        <w:rPr>
          <w:rFonts w:ascii="Aptos" w:eastAsia="Times New Roman" w:hAnsi="Aptos" w:cs="Times New Roman"/>
          <w:color w:val="002060"/>
          <w:kern w:val="36"/>
        </w:rPr>
        <w:t>The Ministry of Industry and Trade stated that, in the recent period, practical issues have arisen leading to the review and adjustment of the National Energy Plan, specifically:</w:t>
      </w:r>
      <w:bookmarkEnd w:id="1175"/>
    </w:p>
    <w:p w14:paraId="3A9B2D57"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76" w:name="_Toc220587270"/>
      <w:r w:rsidRPr="00557EB5">
        <w:rPr>
          <w:rFonts w:ascii="Aptos" w:eastAsia="Times New Roman" w:hAnsi="Aptos" w:cs="Times New Roman"/>
          <w:color w:val="002060"/>
          <w:kern w:val="36"/>
        </w:rPr>
        <w:t>Adjustments to the </w:t>
      </w:r>
      <w:hyperlink r:id="rId13" w:tgtFrame="_blank" w:tooltip="economy" w:history="1">
        <w:r w:rsidRPr="00557EB5">
          <w:rPr>
            <w:rStyle w:val="Hyperlink"/>
            <w:rFonts w:ascii="Aptos" w:eastAsia="Times New Roman" w:hAnsi="Aptos" w:cs="Times New Roman"/>
            <w:color w:val="002060"/>
            <w:kern w:val="36"/>
            <w:u w:val="none"/>
          </w:rPr>
          <w:t>socio</w:t>
        </w:r>
      </w:hyperlink>
      <w:r w:rsidRPr="00557EB5">
        <w:rPr>
          <w:rFonts w:ascii="Aptos" w:eastAsia="Times New Roman" w:hAnsi="Aptos" w:cs="Times New Roman"/>
          <w:color w:val="002060"/>
          <w:kern w:val="36"/>
        </w:rPr>
        <w:t> -economic development strategy's targets (accordingly, the national economic growth target for 2025 is 8%, and the economic growth target for the 2026-2030 period is double-digit) have altered the objectives of the National Energy Plan to ensure energy supply for the country's socio-economic development.</w:t>
      </w:r>
      <w:bookmarkEnd w:id="1176"/>
    </w:p>
    <w:p w14:paraId="6E27310E"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77" w:name="_Toc220587271"/>
      <w:r w:rsidRPr="00557EB5">
        <w:rPr>
          <w:rFonts w:ascii="Aptos" w:eastAsia="Times New Roman" w:hAnsi="Aptos" w:cs="Times New Roman"/>
          <w:color w:val="002060"/>
          <w:kern w:val="36"/>
        </w:rPr>
        <w:t>There are adjustments to higher-level plans (National Marine Spatial Planning, National Master Plan adjustments) and plans at the same level (Electricity Plan VIII adjustments).</w:t>
      </w:r>
      <w:bookmarkEnd w:id="1177"/>
    </w:p>
    <w:p w14:paraId="7091C6BE"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78" w:name="_Toc220587272"/>
      <w:r w:rsidRPr="00557EB5">
        <w:rPr>
          <w:rFonts w:ascii="Aptos" w:eastAsia="Times New Roman" w:hAnsi="Aptos" w:cs="Times New Roman"/>
          <w:color w:val="002060"/>
          <w:kern w:val="36"/>
        </w:rPr>
        <w:t>Changes and adjustments to administrative boundaries affect the nature and spatial scale of the planning.</w:t>
      </w:r>
      <w:bookmarkEnd w:id="1178"/>
    </w:p>
    <w:p w14:paraId="23824D27"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79" w:name="_Toc220587273"/>
      <w:r w:rsidRPr="00557EB5">
        <w:rPr>
          <w:rFonts w:ascii="Aptos" w:eastAsia="Times New Roman" w:hAnsi="Aptos" w:cs="Times New Roman"/>
          <w:color w:val="002060"/>
          <w:kern w:val="36"/>
        </w:rPr>
        <w:lastRenderedPageBreak/>
        <w:t>Due to the development of science and technology, the implementation of planning has fundamentally changed (Resolution No. 57-NQ/TW dated December 22, 2024, of the </w:t>
      </w:r>
      <w:hyperlink r:id="rId14" w:tgtFrame="_blank" w:tooltip="Politics" w:history="1">
        <w:r w:rsidRPr="00557EB5">
          <w:rPr>
            <w:rStyle w:val="Hyperlink"/>
            <w:rFonts w:ascii="Aptos" w:eastAsia="Times New Roman" w:hAnsi="Aptos" w:cs="Times New Roman"/>
            <w:color w:val="002060"/>
            <w:kern w:val="36"/>
          </w:rPr>
          <w:t>Politburo</w:t>
        </w:r>
      </w:hyperlink>
      <w:r w:rsidRPr="00557EB5">
        <w:rPr>
          <w:rFonts w:ascii="Aptos" w:eastAsia="Times New Roman" w:hAnsi="Aptos" w:cs="Times New Roman"/>
          <w:color w:val="002060"/>
          <w:kern w:val="36"/>
        </w:rPr>
        <w:t> on breakthroughs in the development of science, technology, innovation, and national digital transformation, which includes tasks related to the development of energy infrastructure, especially new energy, clean energy, and ensuring energy security for the development of science, technology, and strategic industries, etc.).</w:t>
      </w:r>
      <w:bookmarkEnd w:id="1179"/>
    </w:p>
    <w:p w14:paraId="58D69AD2"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0" w:name="_Toc220587274"/>
      <w:r w:rsidRPr="00557EB5">
        <w:rPr>
          <w:rFonts w:ascii="Aptos" w:eastAsia="Times New Roman" w:hAnsi="Aptos" w:cs="Times New Roman"/>
          <w:color w:val="002060"/>
          <w:kern w:val="36"/>
        </w:rPr>
        <w:t>The Ministry of Industry and Trade has drafted a Decision of the Minister of Industry and Trade approving the Adjustment of the National Energy Master Plan for the period 2021-2030, with a vision to 2050, aiming to ensure national energy security, provide sufficient, stable, and high-quality energy, reduce emissions to meet the requirements of socio-economic development and industrialization and modernization of the country, ensure national defense and security, improve people's lives, and protect the ecological environment.</w:t>
      </w:r>
      <w:bookmarkEnd w:id="1180"/>
    </w:p>
    <w:p w14:paraId="3BFE5955"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1" w:name="_Toc220587275"/>
      <w:r w:rsidRPr="00557EB5">
        <w:rPr>
          <w:rFonts w:ascii="Aptos" w:eastAsia="Times New Roman" w:hAnsi="Aptos" w:cs="Times New Roman"/>
          <w:color w:val="002060"/>
          <w:kern w:val="36"/>
        </w:rPr>
        <w:t>Rapid exploitation and efficient use of domestic energy resources, combined with rational energy import and export, will lead to more economical and efficient energy use. The gradual implementation of the energy transition will significantly contribute to meeting national development requirements and international commitments towards achieving net-zero emissions by 2050. The energy sector will develop harmoniously across sub-sectors with integrated and smart infrastructure, reaching the advanced level of the ASEAN region and aligning with global trends in science and technology.</w:t>
      </w:r>
      <w:bookmarkEnd w:id="1181"/>
    </w:p>
    <w:p w14:paraId="27B5F310"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2" w:name="_Toc220587276"/>
      <w:r w:rsidRPr="00557EB5">
        <w:rPr>
          <w:rFonts w:ascii="Aptos" w:eastAsia="Times New Roman" w:hAnsi="Aptos" w:cs="Times New Roman"/>
          <w:color w:val="002060"/>
          <w:kern w:val="36"/>
        </w:rPr>
        <w:t>A competitive, transparent, and efficient energy market, consistent with a socialist-oriented market economy. Developing an independent and self-reliant energy industry, ensuring that key materials and equipment in energy sectors are produced domestically; forming a comprehensive energy industry ecosystem based on renewable and new energy sources, aiming to become a regional center for clean energy industry and renewable energy exports.</w:t>
      </w:r>
      <w:bookmarkEnd w:id="1182"/>
    </w:p>
    <w:p w14:paraId="0A3A76D8"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3" w:name="_Toc220587277"/>
      <w:r w:rsidRPr="00557EB5">
        <w:rPr>
          <w:rFonts w:ascii="Aptos" w:eastAsia="Times New Roman" w:hAnsi="Aptos" w:cs="Times New Roman"/>
          <w:color w:val="002060"/>
          <w:kern w:val="36"/>
        </w:rPr>
        <w:t>Specific objectives</w:t>
      </w:r>
      <w:bookmarkEnd w:id="1183"/>
    </w:p>
    <w:p w14:paraId="7FEE01A0"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4" w:name="_Toc220587278"/>
      <w:r w:rsidRPr="00557EB5">
        <w:rPr>
          <w:rFonts w:ascii="Aptos" w:eastAsia="Times New Roman" w:hAnsi="Aptos" w:cs="Times New Roman"/>
          <w:color w:val="002060"/>
          <w:kern w:val="36"/>
        </w:rPr>
        <w:t>Regarding ensuring national energy security:</w:t>
      </w:r>
      <w:bookmarkEnd w:id="1184"/>
    </w:p>
    <w:p w14:paraId="68C14A10"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5" w:name="_Toc220587279"/>
      <w:r w:rsidRPr="00557EB5">
        <w:rPr>
          <w:rFonts w:ascii="Aptos" w:eastAsia="Times New Roman" w:hAnsi="Aptos" w:cs="Times New Roman"/>
          <w:color w:val="002060"/>
          <w:kern w:val="36"/>
        </w:rPr>
        <w:t>+ To meet domestic energy needs and achieve socio-economic development goals with an average GDP growth rate of at least 10% per year during the period 2026-2030:</w:t>
      </w:r>
      <w:bookmarkEnd w:id="1185"/>
    </w:p>
    <w:p w14:paraId="5A433A3A"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6" w:name="_Toc220587280"/>
      <w:r w:rsidRPr="00557EB5">
        <w:rPr>
          <w:rFonts w:ascii="Aptos" w:eastAsia="Times New Roman" w:hAnsi="Aptos" w:cs="Times New Roman"/>
          <w:color w:val="002060"/>
          <w:kern w:val="36"/>
        </w:rPr>
        <w:t>Total energy demand is projected to reach approximately 120-130 million tons of oil equivalent by 2030, with a target of around 175-200 million tons of oil equivalent by 2050.</w:t>
      </w:r>
      <w:bookmarkEnd w:id="1186"/>
    </w:p>
    <w:p w14:paraId="601DAAEB"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7" w:name="_Toc220587281"/>
      <w:r w:rsidRPr="00557EB5">
        <w:rPr>
          <w:rFonts w:ascii="Aptos" w:eastAsia="Times New Roman" w:hAnsi="Aptos" w:cs="Times New Roman"/>
          <w:color w:val="002060"/>
          <w:kern w:val="36"/>
        </w:rPr>
        <w:t>Total primary energy supply is projected to reach approximately 150-170 million tons of oil equivalent by 2030, with a target of around 210-250 million tons of oil equivalent by 2050.</w:t>
      </w:r>
      <w:bookmarkEnd w:id="1187"/>
    </w:p>
    <w:p w14:paraId="6D32F021"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8" w:name="_Toc220587282"/>
      <w:r w:rsidRPr="00557EB5">
        <w:rPr>
          <w:rFonts w:ascii="Aptos" w:eastAsia="Times New Roman" w:hAnsi="Aptos" w:cs="Times New Roman"/>
          <w:color w:val="002060"/>
          <w:kern w:val="36"/>
        </w:rPr>
        <w:t>+ Increase the total national petroleum reserves (including crude oil and products) to approximately 90 days of net imports by 2030.</w:t>
      </w:r>
      <w:bookmarkEnd w:id="1188"/>
    </w:p>
    <w:p w14:paraId="56331E5E"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89" w:name="_Toc220587283"/>
      <w:r w:rsidRPr="00557EB5">
        <w:rPr>
          <w:rFonts w:ascii="Aptos" w:eastAsia="Times New Roman" w:hAnsi="Aptos" w:cs="Times New Roman"/>
          <w:color w:val="002060"/>
          <w:kern w:val="36"/>
        </w:rPr>
        <w:t>Regarding a just energy transition:</w:t>
      </w:r>
      <w:bookmarkEnd w:id="1189"/>
    </w:p>
    <w:p w14:paraId="0220EA13"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0" w:name="_Toc220587284"/>
      <w:r w:rsidRPr="00557EB5">
        <w:rPr>
          <w:rFonts w:ascii="Aptos" w:eastAsia="Times New Roman" w:hAnsi="Aptos" w:cs="Times New Roman"/>
          <w:color w:val="002060"/>
          <w:kern w:val="36"/>
        </w:rPr>
        <w:t>+ The share of renewable energy in total primary energy is projected to be around 25% - 30% by 2030 and approximately 70% - 80% by 2050.</w:t>
      </w:r>
      <w:bookmarkEnd w:id="1190"/>
    </w:p>
    <w:p w14:paraId="43C079EC"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1" w:name="_Toc220587285"/>
      <w:r w:rsidRPr="00557EB5">
        <w:rPr>
          <w:rFonts w:ascii="Aptos" w:eastAsia="Times New Roman" w:hAnsi="Aptos" w:cs="Times New Roman"/>
          <w:color w:val="002060"/>
          <w:kern w:val="36"/>
        </w:rPr>
        <w:t>+ Energy savings on total final energy consumption will be approximately 8% - 10% by 2030 compared to the business-as-usual scenario.</w:t>
      </w:r>
      <w:bookmarkEnd w:id="1191"/>
    </w:p>
    <w:p w14:paraId="4A123438"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2" w:name="_Toc220587286"/>
      <w:r w:rsidRPr="00557EB5">
        <w:rPr>
          <w:rFonts w:ascii="Aptos" w:eastAsia="Times New Roman" w:hAnsi="Aptos" w:cs="Times New Roman"/>
          <w:color w:val="002060"/>
          <w:kern w:val="36"/>
        </w:rPr>
        <w:t xml:space="preserve">+ Reduce greenhouse gas emissions by 15-35% by 2030 compared to the business-as-usual scenario. Greenhouse gas emissions from the energy sector are projected at approximately 433-474 million tons of CO2 equivalent in 2030 and around 101 million tons of CO2 equivalent in 2050. The goal is to reach peak emissions by 2030, </w:t>
      </w:r>
      <w:proofErr w:type="gramStart"/>
      <w:r w:rsidRPr="00557EB5">
        <w:rPr>
          <w:rFonts w:ascii="Aptos" w:eastAsia="Times New Roman" w:hAnsi="Aptos" w:cs="Times New Roman"/>
          <w:color w:val="002060"/>
          <w:kern w:val="36"/>
        </w:rPr>
        <w:t>provided that</w:t>
      </w:r>
      <w:proofErr w:type="gramEnd"/>
      <w:r w:rsidRPr="00557EB5">
        <w:rPr>
          <w:rFonts w:ascii="Aptos" w:eastAsia="Times New Roman" w:hAnsi="Aptos" w:cs="Times New Roman"/>
          <w:color w:val="002060"/>
          <w:kern w:val="36"/>
        </w:rPr>
        <w:t xml:space="preserve"> commitments under the </w:t>
      </w:r>
      <w:proofErr w:type="spellStart"/>
      <w:r w:rsidRPr="00557EB5">
        <w:rPr>
          <w:rFonts w:ascii="Aptos" w:eastAsia="Times New Roman" w:hAnsi="Aptos" w:cs="Times New Roman"/>
          <w:color w:val="002060"/>
          <w:kern w:val="36"/>
        </w:rPr>
        <w:t>JETP</w:t>
      </w:r>
      <w:proofErr w:type="spellEnd"/>
      <w:r w:rsidRPr="00557EB5">
        <w:rPr>
          <w:rFonts w:ascii="Aptos" w:eastAsia="Times New Roman" w:hAnsi="Aptos" w:cs="Times New Roman"/>
          <w:color w:val="002060"/>
          <w:kern w:val="36"/>
        </w:rPr>
        <w:t xml:space="preserve"> are fully and effectively implemented by international partners.</w:t>
      </w:r>
      <w:bookmarkEnd w:id="1192"/>
    </w:p>
    <w:p w14:paraId="376A1EE3"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3" w:name="_Toc220587287"/>
      <w:r w:rsidRPr="00557EB5">
        <w:rPr>
          <w:rFonts w:ascii="Aptos" w:eastAsia="Times New Roman" w:hAnsi="Aptos" w:cs="Times New Roman"/>
          <w:color w:val="002060"/>
          <w:kern w:val="36"/>
        </w:rPr>
        <w:lastRenderedPageBreak/>
        <w:t>Regarding the development of the energy industry:</w:t>
      </w:r>
      <w:bookmarkEnd w:id="1193"/>
    </w:p>
    <w:p w14:paraId="7D2FBC6F"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4" w:name="_Toc220587288"/>
      <w:r w:rsidRPr="00557EB5">
        <w:rPr>
          <w:rFonts w:ascii="Aptos" w:eastAsia="Times New Roman" w:hAnsi="Aptos" w:cs="Times New Roman"/>
          <w:color w:val="002060"/>
          <w:kern w:val="36"/>
        </w:rPr>
        <w:t>+ Exploiting and utilizing domestic energy resources effectively:</w:t>
      </w:r>
      <w:bookmarkEnd w:id="1194"/>
    </w:p>
    <w:p w14:paraId="2B5CE397"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5" w:name="_Toc220587289"/>
      <w:r w:rsidRPr="00557EB5">
        <w:rPr>
          <w:rFonts w:ascii="Aptos" w:eastAsia="Times New Roman" w:hAnsi="Aptos" w:cs="Times New Roman"/>
          <w:color w:val="002060"/>
          <w:kern w:val="36"/>
        </w:rPr>
        <w:t>Crude oil production is projected to reach 5.8-8.0 million tons/year during the 2026-2030 period, and 7.0-10.0 million tons/year during the 2031-2035 period. The target for the 2036-2050 period is 4.8-7.8 million tons/year.</w:t>
      </w:r>
      <w:bookmarkEnd w:id="1195"/>
    </w:p>
    <w:p w14:paraId="2593D5AC"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6" w:name="_Toc220587290"/>
      <w:r w:rsidRPr="00557EB5">
        <w:rPr>
          <w:rFonts w:ascii="Aptos" w:eastAsia="Times New Roman" w:hAnsi="Aptos" w:cs="Times New Roman"/>
          <w:color w:val="002060"/>
          <w:kern w:val="36"/>
        </w:rPr>
        <w:t xml:space="preserve">Natural gas production is projected to reach 5.4 - 11.0 billion </w:t>
      </w:r>
      <w:proofErr w:type="spellStart"/>
      <w:r w:rsidRPr="00557EB5">
        <w:rPr>
          <w:rFonts w:ascii="Aptos" w:eastAsia="Times New Roman" w:hAnsi="Aptos" w:cs="Times New Roman"/>
          <w:color w:val="002060"/>
          <w:kern w:val="36"/>
        </w:rPr>
        <w:t>m3</w:t>
      </w:r>
      <w:proofErr w:type="spellEnd"/>
      <w:r w:rsidRPr="00557EB5">
        <w:rPr>
          <w:rFonts w:ascii="Aptos" w:eastAsia="Times New Roman" w:hAnsi="Aptos" w:cs="Times New Roman"/>
          <w:color w:val="002060"/>
          <w:kern w:val="36"/>
        </w:rPr>
        <w:t xml:space="preserve">/year in the period 2026 - 2030; 11.0 - 15.0 billion </w:t>
      </w:r>
      <w:proofErr w:type="spellStart"/>
      <w:r w:rsidRPr="00557EB5">
        <w:rPr>
          <w:rFonts w:ascii="Aptos" w:eastAsia="Times New Roman" w:hAnsi="Aptos" w:cs="Times New Roman"/>
          <w:color w:val="002060"/>
          <w:kern w:val="36"/>
        </w:rPr>
        <w:t>m3</w:t>
      </w:r>
      <w:proofErr w:type="spellEnd"/>
      <w:r w:rsidRPr="00557EB5">
        <w:rPr>
          <w:rFonts w:ascii="Aptos" w:eastAsia="Times New Roman" w:hAnsi="Aptos" w:cs="Times New Roman"/>
          <w:color w:val="002060"/>
          <w:kern w:val="36"/>
        </w:rPr>
        <w:t xml:space="preserve">/year in the period 2031 - 2035. The target for the period 2036 - 2050 is 14.0 - 18.8 billion </w:t>
      </w:r>
      <w:proofErr w:type="spellStart"/>
      <w:r w:rsidRPr="00557EB5">
        <w:rPr>
          <w:rFonts w:ascii="Aptos" w:eastAsia="Times New Roman" w:hAnsi="Aptos" w:cs="Times New Roman"/>
          <w:color w:val="002060"/>
          <w:kern w:val="36"/>
        </w:rPr>
        <w:t>m3</w:t>
      </w:r>
      <w:proofErr w:type="spellEnd"/>
      <w:r w:rsidRPr="00557EB5">
        <w:rPr>
          <w:rFonts w:ascii="Aptos" w:eastAsia="Times New Roman" w:hAnsi="Aptos" w:cs="Times New Roman"/>
          <w:color w:val="002060"/>
          <w:kern w:val="36"/>
        </w:rPr>
        <w:t>/year.</w:t>
      </w:r>
      <w:bookmarkEnd w:id="1196"/>
    </w:p>
    <w:p w14:paraId="3378FBB4"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7" w:name="_Toc220587291"/>
      <w:r w:rsidRPr="00557EB5">
        <w:rPr>
          <w:rFonts w:ascii="Aptos" w:eastAsia="Times New Roman" w:hAnsi="Aptos" w:cs="Times New Roman"/>
          <w:color w:val="002060"/>
          <w:kern w:val="36"/>
        </w:rPr>
        <w:t>Develop full capacity to import liquefied natural gas (LNG) to meet the needs of LNG-fired power plants and other requirements; establish LNG energy centers that harmonize with regional needs.</w:t>
      </w:r>
      <w:bookmarkEnd w:id="1197"/>
    </w:p>
    <w:p w14:paraId="435D0886"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8" w:name="_Toc220587292"/>
      <w:r w:rsidRPr="00557EB5">
        <w:rPr>
          <w:rFonts w:ascii="Aptos" w:eastAsia="Times New Roman" w:hAnsi="Aptos" w:cs="Times New Roman"/>
          <w:color w:val="002060"/>
          <w:kern w:val="36"/>
        </w:rPr>
        <w:t>Develop a complete and synchronized infrastructure for the coal industry, ensuring connectivity between regions and linking with the infrastructure systems of other related industries and sectors across the territory.</w:t>
      </w:r>
      <w:bookmarkEnd w:id="1198"/>
    </w:p>
    <w:p w14:paraId="631CD83E"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199" w:name="_Toc220587293"/>
      <w:r w:rsidRPr="00557EB5">
        <w:rPr>
          <w:rFonts w:ascii="Aptos" w:eastAsia="Times New Roman" w:hAnsi="Aptos" w:cs="Times New Roman"/>
          <w:color w:val="002060"/>
          <w:kern w:val="36"/>
        </w:rPr>
        <w:t>+ Focus on developing the energy industry towards becoming a regional center for clean energy and renewable energy exports, establishing and developing renewable energy centers in regions and localities with advantages:</w:t>
      </w:r>
      <w:bookmarkEnd w:id="1199"/>
    </w:p>
    <w:p w14:paraId="64A09B03"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0" w:name="_Toc220587294"/>
      <w:r w:rsidRPr="00557EB5">
        <w:rPr>
          <w:rFonts w:ascii="Aptos" w:eastAsia="Times New Roman" w:hAnsi="Aptos" w:cs="Times New Roman"/>
          <w:color w:val="002060"/>
          <w:kern w:val="36"/>
        </w:rPr>
        <w:t>The goal is to establish and develop several clean energy centers by 2030, encompassing energy production and utilization, renewable energy equipment manufacturing, oil and gas processing, construction, installation, and related services, in the Northern, South Central, and Southern regions of Vietnam, when favorable conditions arise.</w:t>
      </w:r>
      <w:bookmarkEnd w:id="1200"/>
    </w:p>
    <w:p w14:paraId="0067AFCA"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1" w:name="_Toc220587295"/>
      <w:r w:rsidRPr="00557EB5">
        <w:rPr>
          <w:rFonts w:ascii="Aptos" w:eastAsia="Times New Roman" w:hAnsi="Aptos" w:cs="Times New Roman"/>
          <w:color w:val="002060"/>
          <w:kern w:val="36"/>
        </w:rPr>
        <w:t>Develop new energy production to meet domestic needs and for export. Strive to achieve a green hydrogen production capacity of approximately 100-200 thousand tons/year by 2030. Aim for a green hydrogen production capacity of approximately 10-20 million tons/year by 2050.</w:t>
      </w:r>
      <w:bookmarkEnd w:id="1201"/>
    </w:p>
    <w:p w14:paraId="24CF88DD"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2" w:name="_Toc220587296"/>
      <w:r w:rsidRPr="00557EB5">
        <w:rPr>
          <w:rFonts w:ascii="Aptos" w:eastAsia="Times New Roman" w:hAnsi="Aptos" w:cs="Times New Roman"/>
          <w:color w:val="002060"/>
          <w:kern w:val="36"/>
        </w:rPr>
        <w:t>Continue to promote the development of renewable and new energy sources.</w:t>
      </w:r>
      <w:bookmarkEnd w:id="1202"/>
    </w:p>
    <w:p w14:paraId="48C24DC5"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3" w:name="_Toc220587297"/>
      <w:r w:rsidRPr="00557EB5">
        <w:rPr>
          <w:rFonts w:ascii="Aptos" w:eastAsia="Times New Roman" w:hAnsi="Aptos" w:cs="Times New Roman"/>
          <w:color w:val="002060"/>
          <w:kern w:val="36"/>
        </w:rPr>
        <w:t>In the draft, the Ministry of Industry and Trade also specifically proposed orientations and objectives for the energy sector planning, including: the oil and gas sector; the coal infrastructure sector; the new and renewable energy sector; and the electricity sector…</w:t>
      </w:r>
      <w:bookmarkEnd w:id="1203"/>
    </w:p>
    <w:p w14:paraId="612E4B5E"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4" w:name="_Toc220587298"/>
      <w:r w:rsidRPr="00557EB5">
        <w:rPr>
          <w:rFonts w:ascii="Aptos" w:eastAsia="Times New Roman" w:hAnsi="Aptos" w:cs="Times New Roman"/>
          <w:color w:val="002060"/>
          <w:kern w:val="36"/>
        </w:rPr>
        <w:t>Specifically, regarding the new and renewable energy sector, specifically renewable energy for electricity generation, the draft clearly states the direction to continue promoting the development of renewable and new energy sources that are suitable for ensuring system safety with reasonable electricity costs, especially self-produced and self-consumed electricity sources, and rooftop solar power.</w:t>
      </w:r>
      <w:bookmarkEnd w:id="1204"/>
    </w:p>
    <w:p w14:paraId="480E35F5"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5" w:name="_Toc220587299"/>
      <w:r w:rsidRPr="00557EB5">
        <w:rPr>
          <w:rFonts w:ascii="Aptos" w:eastAsia="Times New Roman" w:hAnsi="Aptos" w:cs="Times New Roman"/>
          <w:color w:val="002060"/>
          <w:kern w:val="36"/>
        </w:rPr>
        <w:t>Specific objectives:</w:t>
      </w:r>
      <w:bookmarkEnd w:id="1205"/>
    </w:p>
    <w:p w14:paraId="6438C58E"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6" w:name="_Toc220587300"/>
      <w:r w:rsidRPr="00557EB5">
        <w:rPr>
          <w:rFonts w:ascii="Aptos" w:eastAsia="Times New Roman" w:hAnsi="Aptos" w:cs="Times New Roman"/>
          <w:color w:val="002060"/>
          <w:kern w:val="36"/>
        </w:rPr>
        <w:t xml:space="preserve">Strongly develop renewable energy sources for electricity production, aiming for a rate of approximately 30.9 - 39.2% by 2030, and striving for a renewable energy rate of 47% if strong international financial, technological, and governance support is received under the </w:t>
      </w:r>
      <w:proofErr w:type="spellStart"/>
      <w:r w:rsidRPr="00557EB5">
        <w:rPr>
          <w:rFonts w:ascii="Aptos" w:eastAsia="Times New Roman" w:hAnsi="Aptos" w:cs="Times New Roman"/>
          <w:color w:val="002060"/>
          <w:kern w:val="36"/>
        </w:rPr>
        <w:t>JETP</w:t>
      </w:r>
      <w:proofErr w:type="spellEnd"/>
      <w:r w:rsidRPr="00557EB5">
        <w:rPr>
          <w:rFonts w:ascii="Aptos" w:eastAsia="Times New Roman" w:hAnsi="Aptos" w:cs="Times New Roman"/>
          <w:color w:val="002060"/>
          <w:kern w:val="36"/>
        </w:rPr>
        <w:t xml:space="preserve"> program. The target for 2050 is for the renewable energy rate to reach 67.5 - 71.5%.</w:t>
      </w:r>
      <w:bookmarkEnd w:id="1206"/>
    </w:p>
    <w:p w14:paraId="70FFB259"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7" w:name="_Toc220587301"/>
      <w:r w:rsidRPr="00557EB5">
        <w:rPr>
          <w:rFonts w:ascii="Aptos" w:eastAsia="Times New Roman" w:hAnsi="Aptos" w:cs="Times New Roman"/>
          <w:color w:val="002060"/>
          <w:kern w:val="36"/>
        </w:rPr>
        <w:t>Regarding the development of the renewable energy industrial and service ecosystem:</w:t>
      </w:r>
      <w:bookmarkEnd w:id="1207"/>
    </w:p>
    <w:p w14:paraId="1C69F167"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8" w:name="_Toc220587302"/>
      <w:r w:rsidRPr="00557EB5">
        <w:rPr>
          <w:rFonts w:ascii="Aptos" w:eastAsia="Times New Roman" w:hAnsi="Aptos" w:cs="Times New Roman"/>
          <w:color w:val="002060"/>
          <w:kern w:val="36"/>
        </w:rPr>
        <w:t>By 2030, it is projected that two inter-regional renewable energy industrial and service centers will be established, encompassing electricity production, transmission, and consumption; renewable energy equipment manufacturing; construction, installation, and related services; and the development of a renewable energy industrial ecosystem in areas with high potential such as the Northern, South Central, and Southern regions, provided favorable conditions are met.</w:t>
      </w:r>
      <w:bookmarkEnd w:id="1208"/>
    </w:p>
    <w:p w14:paraId="275EB3A4"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bookmarkStart w:id="1209" w:name="_Toc220587303"/>
      <w:r w:rsidRPr="00557EB5">
        <w:rPr>
          <w:rFonts w:ascii="Aptos" w:eastAsia="Times New Roman" w:hAnsi="Aptos" w:cs="Times New Roman"/>
          <w:color w:val="002060"/>
          <w:kern w:val="36"/>
        </w:rPr>
        <w:lastRenderedPageBreak/>
        <w:t>Develop renewable energy sources and produce new energy for export. Strive to achieve an electricity export capacity of approximately 5,000-10,000 MW by 2030.</w:t>
      </w:r>
      <w:bookmarkEnd w:id="1209"/>
    </w:p>
    <w:p w14:paraId="54C97EF6" w14:textId="5C9C8A72" w:rsidR="00CF78D2" w:rsidRDefault="00557EB5" w:rsidP="00557EB5">
      <w:pPr>
        <w:spacing w:after="120" w:line="288" w:lineRule="auto"/>
        <w:jc w:val="both"/>
        <w:outlineLvl w:val="0"/>
        <w:rPr>
          <w:rFonts w:ascii="Aptos" w:eastAsia="Times New Roman" w:hAnsi="Aptos" w:cs="Times New Roman"/>
          <w:color w:val="002060"/>
          <w:kern w:val="36"/>
        </w:rPr>
      </w:pPr>
      <w:bookmarkStart w:id="1210" w:name="_Toc220587304"/>
      <w:r w:rsidRPr="00557EB5">
        <w:rPr>
          <w:rFonts w:ascii="Aptos" w:eastAsia="Times New Roman" w:hAnsi="Aptos" w:cs="Times New Roman"/>
          <w:color w:val="002060"/>
          <w:kern w:val="36"/>
        </w:rPr>
        <w:t>The draft is currently open for public comment on the Ministry of Industry and Trade's electronic portal.</w:t>
      </w:r>
      <w:bookmarkEnd w:id="1210"/>
    </w:p>
    <w:p w14:paraId="1344FCB2"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p>
    <w:p w14:paraId="482D5D14" w14:textId="77777777" w:rsidR="00921001" w:rsidRDefault="009A69E6"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3E639D87" w14:textId="77777777" w:rsidR="007F4274" w:rsidRPr="007F4274" w:rsidRDefault="007F4274" w:rsidP="007F4274"/>
    <w:p w14:paraId="63461EA9"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bookmarkStart w:id="1211" w:name="_Toc215144391"/>
      <w:bookmarkStart w:id="1212" w:name="_Toc215750969"/>
      <w:bookmarkStart w:id="1213" w:name="_Toc216355067"/>
      <w:bookmarkStart w:id="1214" w:name="_Toc216965815"/>
      <w:bookmarkStart w:id="1215" w:name="_Toc217639136"/>
      <w:bookmarkStart w:id="1216" w:name="_Toc218772688"/>
      <w:bookmarkStart w:id="1217" w:name="_Toc219377454"/>
    </w:p>
    <w:p w14:paraId="3BDE2A92"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p>
    <w:p w14:paraId="1E5714F8" w14:textId="14131A21" w:rsidR="00675434" w:rsidRDefault="00687F12" w:rsidP="00675434">
      <w:pPr>
        <w:pStyle w:val="Heading1"/>
        <w:shd w:val="clear" w:color="auto" w:fill="FFFFFF"/>
        <w:spacing w:before="0" w:line="288" w:lineRule="atLeast"/>
        <w:rPr>
          <w:rFonts w:ascii="Aptos" w:eastAsia="Malgun Gothic" w:hAnsi="Aptos" w:cs="Times New Roman"/>
          <w:color w:val="002060"/>
        </w:rPr>
      </w:pPr>
      <w:bookmarkStart w:id="1218" w:name="_Toc219985609"/>
      <w:bookmarkStart w:id="1219" w:name="_Toc220587305"/>
      <w:r w:rsidRPr="004C6CBE">
        <w:rPr>
          <w:rFonts w:ascii="Aptos" w:eastAsia="Malgun Gothic" w:hAnsi="Aptos" w:cs="Times New Roman"/>
          <w:color w:val="002060"/>
        </w:rPr>
        <w:t>LEGAL</w:t>
      </w:r>
      <w:bookmarkEnd w:id="1211"/>
      <w:bookmarkEnd w:id="1212"/>
      <w:bookmarkEnd w:id="1213"/>
      <w:bookmarkEnd w:id="1214"/>
      <w:bookmarkEnd w:id="1215"/>
      <w:bookmarkEnd w:id="1216"/>
      <w:bookmarkEnd w:id="1217"/>
      <w:bookmarkEnd w:id="1218"/>
      <w:bookmarkEnd w:id="1219"/>
    </w:p>
    <w:p w14:paraId="48ACDF05" w14:textId="77777777" w:rsidR="00780E8A" w:rsidRPr="00780E8A" w:rsidRDefault="00780E8A" w:rsidP="00780E8A"/>
    <w:p w14:paraId="51BA1904" w14:textId="77777777" w:rsidR="00C4518E" w:rsidRDefault="00C4518E" w:rsidP="00F81137">
      <w:pPr>
        <w:spacing w:line="288" w:lineRule="auto"/>
        <w:jc w:val="center"/>
        <w:rPr>
          <w:rStyle w:val="Hyperlink"/>
          <w:rFonts w:ascii="Aptos" w:eastAsia="Malgun Gothic" w:hAnsi="Aptos" w:cs="Times New Roman"/>
          <w:color w:val="002060"/>
        </w:rPr>
      </w:pPr>
      <w:bookmarkStart w:id="1220" w:name="_Hlk219376793"/>
    </w:p>
    <w:p w14:paraId="4D444365" w14:textId="77777777" w:rsidR="000A43C8" w:rsidRPr="00AE3070" w:rsidRDefault="000A43C8" w:rsidP="00C4518E">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221" w:name="_Toc220587306"/>
      <w:r w:rsidRPr="00AE3070">
        <w:rPr>
          <w:rFonts w:ascii="Aptos" w:eastAsia="Times New Roman" w:hAnsi="Aptos" w:cs="Times New Roman"/>
          <w:b/>
          <w:bCs/>
          <w:color w:val="002060"/>
          <w:kern w:val="36"/>
          <w:sz w:val="24"/>
          <w:szCs w:val="24"/>
        </w:rPr>
        <w:t xml:space="preserve">Decree on data exchange platform operations expected by </w:t>
      </w:r>
      <w:proofErr w:type="spellStart"/>
      <w:r w:rsidRPr="00AE3070">
        <w:rPr>
          <w:rFonts w:ascii="Aptos" w:eastAsia="Times New Roman" w:hAnsi="Aptos" w:cs="Times New Roman"/>
          <w:b/>
          <w:bCs/>
          <w:color w:val="002060"/>
          <w:kern w:val="36"/>
          <w:sz w:val="24"/>
          <w:szCs w:val="24"/>
        </w:rPr>
        <w:t>Q2</w:t>
      </w:r>
      <w:proofErr w:type="spellEnd"/>
      <w:r w:rsidRPr="00AE3070">
        <w:rPr>
          <w:rFonts w:ascii="Aptos" w:eastAsia="Times New Roman" w:hAnsi="Aptos" w:cs="Times New Roman"/>
          <w:b/>
          <w:bCs/>
          <w:color w:val="002060"/>
          <w:kern w:val="36"/>
          <w:sz w:val="24"/>
          <w:szCs w:val="24"/>
        </w:rPr>
        <w:t xml:space="preserve"> 2026</w:t>
      </w:r>
      <w:bookmarkEnd w:id="1221"/>
    </w:p>
    <w:p w14:paraId="4EDA4751" w14:textId="4BBF62A0" w:rsidR="000A43C8" w:rsidRDefault="00C4518E" w:rsidP="00C4518E">
      <w:pPr>
        <w:spacing w:after="0" w:line="288" w:lineRule="auto"/>
        <w:jc w:val="both"/>
        <w:rPr>
          <w:rFonts w:ascii="Aptos" w:eastAsia="Times New Roman" w:hAnsi="Aptos" w:cs="Times New Roman"/>
          <w:i/>
          <w:iCs/>
          <w:color w:val="002060"/>
          <w:sz w:val="18"/>
          <w:szCs w:val="18"/>
        </w:rPr>
      </w:pPr>
      <w:r w:rsidRPr="00C4518E">
        <w:rPr>
          <w:rFonts w:ascii="Aptos" w:eastAsia="Times New Roman" w:hAnsi="Aptos" w:cs="Times New Roman"/>
          <w:i/>
          <w:iCs/>
          <w:color w:val="002060"/>
          <w:sz w:val="18"/>
          <w:szCs w:val="18"/>
        </w:rPr>
        <w:t>VET</w:t>
      </w:r>
    </w:p>
    <w:p w14:paraId="24351BB4" w14:textId="77777777" w:rsidR="00C4518E" w:rsidRPr="000A43C8" w:rsidRDefault="00C4518E" w:rsidP="00C4518E">
      <w:pPr>
        <w:spacing w:after="0" w:line="288" w:lineRule="auto"/>
        <w:jc w:val="both"/>
        <w:rPr>
          <w:rFonts w:ascii="Aptos" w:eastAsia="Times New Roman" w:hAnsi="Aptos" w:cs="Times New Roman"/>
          <w:i/>
          <w:iCs/>
          <w:color w:val="002060"/>
          <w:sz w:val="18"/>
          <w:szCs w:val="18"/>
        </w:rPr>
      </w:pPr>
    </w:p>
    <w:p w14:paraId="26EECF29" w14:textId="77777777" w:rsidR="000A43C8" w:rsidRPr="000A43C8" w:rsidRDefault="000A43C8" w:rsidP="00C4518E">
      <w:pPr>
        <w:spacing w:after="100" w:afterAutospacing="1" w:line="288" w:lineRule="auto"/>
        <w:jc w:val="both"/>
        <w:outlineLvl w:val="1"/>
        <w:rPr>
          <w:rFonts w:ascii="Aptos" w:eastAsia="Times New Roman" w:hAnsi="Aptos" w:cs="Arial"/>
          <w:b/>
          <w:bCs/>
          <w:i/>
          <w:iCs/>
          <w:color w:val="002060"/>
        </w:rPr>
      </w:pPr>
      <w:bookmarkStart w:id="1222" w:name="_Toc220587307"/>
      <w:r w:rsidRPr="000A43C8">
        <w:rPr>
          <w:rFonts w:ascii="Aptos" w:eastAsia="Times New Roman" w:hAnsi="Aptos" w:cs="Arial"/>
          <w:b/>
          <w:bCs/>
          <w:i/>
          <w:iCs/>
          <w:color w:val="002060"/>
        </w:rPr>
        <w:t>Ministries, sectors, and local authorities are urged to expedite the issuance of lists for master data, core data, open data, and shared data.</w:t>
      </w:r>
      <w:bookmarkEnd w:id="1222"/>
    </w:p>
    <w:p w14:paraId="11340C35" w14:textId="77777777" w:rsidR="000A43C8" w:rsidRPr="000A43C8" w:rsidRDefault="000A43C8" w:rsidP="00C4518E">
      <w:pPr>
        <w:shd w:val="clear" w:color="auto" w:fill="FFFFFF"/>
        <w:spacing w:before="100" w:beforeAutospacing="1" w:after="100" w:afterAutospacing="1" w:line="288" w:lineRule="auto"/>
        <w:jc w:val="both"/>
        <w:rPr>
          <w:rFonts w:ascii="Aptos" w:eastAsia="Times New Roman" w:hAnsi="Aptos" w:cs="Arial"/>
          <w:color w:val="002060"/>
        </w:rPr>
      </w:pPr>
      <w:r w:rsidRPr="000A43C8">
        <w:rPr>
          <w:rFonts w:ascii="Aptos" w:eastAsia="Times New Roman" w:hAnsi="Aptos" w:cs="Arial"/>
          <w:color w:val="002060"/>
        </w:rPr>
        <w:t>The Government Office has issued Notification No. 43/TB-</w:t>
      </w:r>
      <w:proofErr w:type="spellStart"/>
      <w:r w:rsidRPr="000A43C8">
        <w:rPr>
          <w:rFonts w:ascii="Aptos" w:eastAsia="Times New Roman" w:hAnsi="Aptos" w:cs="Arial"/>
          <w:color w:val="002060"/>
        </w:rPr>
        <w:t>VPCP</w:t>
      </w:r>
      <w:proofErr w:type="spellEnd"/>
      <w:r w:rsidRPr="000A43C8">
        <w:rPr>
          <w:rFonts w:ascii="Aptos" w:eastAsia="Times New Roman" w:hAnsi="Aptos" w:cs="Arial"/>
          <w:color w:val="002060"/>
        </w:rPr>
        <w:t xml:space="preserve"> dated January 26, detailing the conclusions from the inaugural meeting of the National Data Steering Committee.</w:t>
      </w:r>
    </w:p>
    <w:p w14:paraId="14C51796" w14:textId="77777777" w:rsidR="000A43C8" w:rsidRPr="000A43C8" w:rsidRDefault="000A43C8" w:rsidP="00C4518E">
      <w:pPr>
        <w:shd w:val="clear" w:color="auto" w:fill="FFFFFF"/>
        <w:spacing w:before="100" w:beforeAutospacing="1" w:after="100" w:afterAutospacing="1" w:line="288" w:lineRule="auto"/>
        <w:jc w:val="both"/>
        <w:rPr>
          <w:rFonts w:ascii="Aptos" w:eastAsia="Times New Roman" w:hAnsi="Aptos" w:cs="Arial"/>
          <w:color w:val="002060"/>
        </w:rPr>
      </w:pPr>
      <w:r w:rsidRPr="000A43C8">
        <w:rPr>
          <w:rFonts w:ascii="Aptos" w:eastAsia="Times New Roman" w:hAnsi="Aptos" w:cs="Arial"/>
          <w:color w:val="002060"/>
        </w:rPr>
        <w:t>Accordingly, the Ministry of Public Security has been assigned to research and submit several draft decrees to the Government. This includes a Decree regulating the operations of the Data Exchange Platform, to be completed by the second quarter of 2026, and a Decree outlining breakthrough development mechanisms for the Data Innovation and Exploitation Center under the National Data Center, which is expected by the first quarter of 2026.</w:t>
      </w:r>
    </w:p>
    <w:p w14:paraId="68269029" w14:textId="77777777" w:rsidR="000A43C8" w:rsidRPr="000A43C8" w:rsidRDefault="000A43C8" w:rsidP="00C4518E">
      <w:pPr>
        <w:shd w:val="clear" w:color="auto" w:fill="FFFFFF"/>
        <w:spacing w:before="100" w:beforeAutospacing="1" w:after="100" w:afterAutospacing="1" w:line="288" w:lineRule="auto"/>
        <w:jc w:val="both"/>
        <w:rPr>
          <w:rFonts w:ascii="Aptos" w:eastAsia="Times New Roman" w:hAnsi="Aptos" w:cs="Arial"/>
          <w:color w:val="002060"/>
        </w:rPr>
      </w:pPr>
      <w:r w:rsidRPr="000A43C8">
        <w:rPr>
          <w:rFonts w:ascii="Aptos" w:eastAsia="Times New Roman" w:hAnsi="Aptos" w:cs="Arial"/>
          <w:color w:val="002060"/>
        </w:rPr>
        <w:t xml:space="preserve">Furthermore, the ministry is responsible for submitting a Decree on the identification, authentication, and traceability of products and goods by </w:t>
      </w:r>
      <w:proofErr w:type="spellStart"/>
      <w:r w:rsidRPr="000A43C8">
        <w:rPr>
          <w:rFonts w:ascii="Aptos" w:eastAsia="Times New Roman" w:hAnsi="Aptos" w:cs="Arial"/>
          <w:color w:val="002060"/>
        </w:rPr>
        <w:t>Q2</w:t>
      </w:r>
      <w:proofErr w:type="spellEnd"/>
      <w:r w:rsidRPr="000A43C8">
        <w:rPr>
          <w:rFonts w:ascii="Aptos" w:eastAsia="Times New Roman" w:hAnsi="Aptos" w:cs="Arial"/>
          <w:color w:val="002060"/>
        </w:rPr>
        <w:t xml:space="preserve"> 2026, as well as a regulatory Resolution on digital citizen development by </w:t>
      </w:r>
      <w:proofErr w:type="spellStart"/>
      <w:r w:rsidRPr="000A43C8">
        <w:rPr>
          <w:rFonts w:ascii="Aptos" w:eastAsia="Times New Roman" w:hAnsi="Aptos" w:cs="Arial"/>
          <w:color w:val="002060"/>
        </w:rPr>
        <w:t>Q1</w:t>
      </w:r>
      <w:proofErr w:type="spellEnd"/>
      <w:r w:rsidRPr="000A43C8">
        <w:rPr>
          <w:rFonts w:ascii="Aptos" w:eastAsia="Times New Roman" w:hAnsi="Aptos" w:cs="Arial"/>
          <w:color w:val="002060"/>
        </w:rPr>
        <w:t xml:space="preserve"> 2026.</w:t>
      </w:r>
    </w:p>
    <w:p w14:paraId="2A75575A" w14:textId="77777777" w:rsidR="000A43C8" w:rsidRPr="000A43C8" w:rsidRDefault="000A43C8" w:rsidP="00C4518E">
      <w:pPr>
        <w:shd w:val="clear" w:color="auto" w:fill="FFFFFF"/>
        <w:spacing w:before="100" w:beforeAutospacing="1" w:after="100" w:afterAutospacing="1" w:line="288" w:lineRule="auto"/>
        <w:jc w:val="both"/>
        <w:rPr>
          <w:rFonts w:ascii="Aptos" w:eastAsia="Times New Roman" w:hAnsi="Aptos" w:cs="Arial"/>
          <w:color w:val="002060"/>
        </w:rPr>
      </w:pPr>
      <w:r w:rsidRPr="000A43C8">
        <w:rPr>
          <w:rFonts w:ascii="Aptos" w:eastAsia="Times New Roman" w:hAnsi="Aptos" w:cs="Arial"/>
          <w:color w:val="002060"/>
        </w:rPr>
        <w:t>The ministry will also lead the development of policies for the data economy and collaborate with relevant agencies to issue a comprehensive list of technical standards and regulations for data, both slated for completion in the second quarter of 2026.</w:t>
      </w:r>
    </w:p>
    <w:p w14:paraId="72A4E518" w14:textId="77777777" w:rsidR="000A43C8" w:rsidRPr="000A43C8" w:rsidRDefault="000A43C8" w:rsidP="00C4518E">
      <w:pPr>
        <w:shd w:val="clear" w:color="auto" w:fill="FFFFFF"/>
        <w:spacing w:before="100" w:beforeAutospacing="1" w:after="100" w:afterAutospacing="1" w:line="288" w:lineRule="auto"/>
        <w:jc w:val="both"/>
        <w:rPr>
          <w:rFonts w:ascii="Aptos" w:eastAsia="Times New Roman" w:hAnsi="Aptos" w:cs="Arial"/>
          <w:color w:val="002060"/>
        </w:rPr>
      </w:pPr>
      <w:r w:rsidRPr="000A43C8">
        <w:rPr>
          <w:rFonts w:ascii="Aptos" w:eastAsia="Times New Roman" w:hAnsi="Aptos" w:cs="Arial"/>
          <w:color w:val="002060"/>
        </w:rPr>
        <w:t>Meanwhile, the Ministry of Finance will preside over the creation of a legal framework for data valuation and the fee structures for exploiting data from the National Data Center. This framework, which will also incorporate tax incentives and capital support policies for businesses involved in data activities, is scheduled for completion in the second quarter of 2026.</w:t>
      </w:r>
    </w:p>
    <w:p w14:paraId="3AF5BBE9" w14:textId="77777777" w:rsidR="000A43C8" w:rsidRPr="000A43C8" w:rsidRDefault="000A43C8" w:rsidP="00C4518E">
      <w:pPr>
        <w:shd w:val="clear" w:color="auto" w:fill="FFFFFF"/>
        <w:spacing w:before="100" w:beforeAutospacing="1" w:after="100" w:afterAutospacing="1" w:line="288" w:lineRule="auto"/>
        <w:jc w:val="both"/>
        <w:rPr>
          <w:rFonts w:ascii="Aptos" w:eastAsia="Times New Roman" w:hAnsi="Aptos" w:cs="Arial"/>
          <w:color w:val="002060"/>
        </w:rPr>
      </w:pPr>
      <w:r w:rsidRPr="000A43C8">
        <w:rPr>
          <w:rFonts w:ascii="Aptos" w:eastAsia="Times New Roman" w:hAnsi="Aptos" w:cs="Arial"/>
          <w:color w:val="002060"/>
        </w:rPr>
        <w:t xml:space="preserve">Ministries, sectors, and local authorities are urged to expedite the issuance of lists for master data, core data, open data, and shared data. These entities must also establish data governance processes and regulations, as well as technical standards for the structure of data messages exchanged between national and specialized databases and </w:t>
      </w:r>
      <w:r w:rsidRPr="000A43C8">
        <w:rPr>
          <w:rFonts w:ascii="Aptos" w:eastAsia="Times New Roman" w:hAnsi="Aptos" w:cs="Arial"/>
          <w:color w:val="002060"/>
        </w:rPr>
        <w:lastRenderedPageBreak/>
        <w:t>the National Integrated Database. The construction of data architecture is expected to be finalized within the first quarter of 2026. Additionally, these bodies are tasked with identifying and updating specialized master datasets to be integrated into the Common Data Dictionary System by the second quarter of 2026.</w:t>
      </w:r>
    </w:p>
    <w:p w14:paraId="6AE84332" w14:textId="7EF3F88E" w:rsidR="002B20E1" w:rsidRPr="00C4518E" w:rsidRDefault="000A43C8" w:rsidP="00C4518E">
      <w:pPr>
        <w:shd w:val="clear" w:color="auto" w:fill="FFFFFF"/>
        <w:spacing w:before="100" w:beforeAutospacing="1" w:after="100" w:afterAutospacing="1" w:line="288" w:lineRule="auto"/>
        <w:jc w:val="both"/>
        <w:rPr>
          <w:rFonts w:ascii="Aptos" w:eastAsia="Times New Roman" w:hAnsi="Aptos" w:cs="Arial"/>
          <w:color w:val="002060"/>
        </w:rPr>
      </w:pPr>
      <w:r w:rsidRPr="000A43C8">
        <w:rPr>
          <w:rFonts w:ascii="Aptos" w:eastAsia="Times New Roman" w:hAnsi="Aptos" w:cs="Arial"/>
          <w:color w:val="002060"/>
        </w:rPr>
        <w:t>Finally, the Ministry of Home Affairs has been directed to accelerate the cleaning and cross-matching of 100% of the national database on cadres, civil servants, and public employees with the national population database by the first quarter of 2026. The ministry is also tasked with the urgent development of sub-databases for the social security system, ensuring that data from local levels is upgraded and integrated into the central system for official operation by the second quarter of 2026.</w:t>
      </w:r>
    </w:p>
    <w:bookmarkEnd w:id="1220"/>
    <w:p w14:paraId="7F2235AC" w14:textId="77777777" w:rsidR="007875A3" w:rsidRDefault="001D7544" w:rsidP="007875A3">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875A3"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EB3A18B" w14:textId="77777777" w:rsidR="00AE3070" w:rsidRDefault="00AE3070" w:rsidP="007875A3">
      <w:pPr>
        <w:spacing w:line="288" w:lineRule="auto"/>
        <w:jc w:val="right"/>
        <w:rPr>
          <w:rStyle w:val="Hyperlink"/>
          <w:rFonts w:ascii="Aptos" w:eastAsia="Malgun Gothic" w:hAnsi="Aptos" w:cs="Times New Roman"/>
          <w:color w:val="002060"/>
        </w:rPr>
      </w:pPr>
    </w:p>
    <w:p w14:paraId="63096AB3" w14:textId="77777777" w:rsidR="00D378BD" w:rsidRDefault="00D378BD" w:rsidP="007875A3">
      <w:pPr>
        <w:spacing w:line="288" w:lineRule="auto"/>
        <w:jc w:val="right"/>
        <w:rPr>
          <w:rStyle w:val="Hyperlink"/>
          <w:rFonts w:ascii="Aptos" w:eastAsia="Malgun Gothic" w:hAnsi="Aptos" w:cs="Times New Roman"/>
          <w:color w:val="002060"/>
        </w:rPr>
      </w:pPr>
    </w:p>
    <w:p w14:paraId="5C7D233A" w14:textId="77777777" w:rsidR="00E7374B" w:rsidRPr="00AE3070" w:rsidRDefault="00E7374B" w:rsidP="0082515C">
      <w:pPr>
        <w:spacing w:after="150" w:line="288" w:lineRule="auto"/>
        <w:outlineLvl w:val="0"/>
        <w:rPr>
          <w:rFonts w:ascii="Aptos" w:eastAsia="Times New Roman" w:hAnsi="Aptos" w:cs="Times New Roman"/>
          <w:b/>
          <w:bCs/>
          <w:color w:val="002060"/>
          <w:kern w:val="36"/>
          <w:sz w:val="24"/>
          <w:szCs w:val="24"/>
        </w:rPr>
      </w:pPr>
      <w:bookmarkStart w:id="1223" w:name="_Toc220587308"/>
      <w:r w:rsidRPr="00AE3070">
        <w:rPr>
          <w:rFonts w:ascii="Aptos" w:eastAsia="Times New Roman" w:hAnsi="Aptos" w:cs="Times New Roman"/>
          <w:b/>
          <w:bCs/>
          <w:color w:val="002060"/>
          <w:kern w:val="36"/>
          <w:sz w:val="24"/>
          <w:szCs w:val="24"/>
        </w:rPr>
        <w:t xml:space="preserve">New legal framework for Mobile Money to take effect in </w:t>
      </w:r>
      <w:proofErr w:type="spellStart"/>
      <w:proofErr w:type="gramStart"/>
      <w:r w:rsidRPr="00AE3070">
        <w:rPr>
          <w:rFonts w:ascii="Aptos" w:eastAsia="Times New Roman" w:hAnsi="Aptos" w:cs="Times New Roman"/>
          <w:b/>
          <w:bCs/>
          <w:color w:val="002060"/>
          <w:kern w:val="36"/>
          <w:sz w:val="24"/>
          <w:szCs w:val="24"/>
        </w:rPr>
        <w:t>Việt</w:t>
      </w:r>
      <w:proofErr w:type="spellEnd"/>
      <w:r w:rsidRPr="00AE3070">
        <w:rPr>
          <w:rFonts w:ascii="Aptos" w:eastAsia="Times New Roman" w:hAnsi="Aptos" w:cs="Times New Roman"/>
          <w:b/>
          <w:bCs/>
          <w:color w:val="002060"/>
          <w:kern w:val="36"/>
          <w:sz w:val="24"/>
          <w:szCs w:val="24"/>
        </w:rPr>
        <w:t>  Nam</w:t>
      </w:r>
      <w:proofErr w:type="gramEnd"/>
      <w:r w:rsidRPr="00AE3070">
        <w:rPr>
          <w:rFonts w:ascii="Aptos" w:eastAsia="Times New Roman" w:hAnsi="Aptos" w:cs="Times New Roman"/>
          <w:b/>
          <w:bCs/>
          <w:color w:val="002060"/>
          <w:kern w:val="36"/>
          <w:sz w:val="24"/>
          <w:szCs w:val="24"/>
        </w:rPr>
        <w:t xml:space="preserve"> soon</w:t>
      </w:r>
      <w:bookmarkEnd w:id="1223"/>
    </w:p>
    <w:p w14:paraId="2A6D1B3C" w14:textId="1FDE1A64" w:rsidR="0082515C" w:rsidRPr="00AE3070" w:rsidRDefault="0082515C" w:rsidP="0082515C">
      <w:pPr>
        <w:spacing w:after="150" w:line="288" w:lineRule="auto"/>
        <w:outlineLvl w:val="0"/>
        <w:rPr>
          <w:rFonts w:ascii="Aptos" w:eastAsia="Times New Roman" w:hAnsi="Aptos" w:cs="Times New Roman"/>
          <w:i/>
          <w:iCs/>
          <w:color w:val="002060"/>
          <w:kern w:val="36"/>
          <w:sz w:val="18"/>
          <w:szCs w:val="18"/>
        </w:rPr>
      </w:pPr>
      <w:bookmarkStart w:id="1224" w:name="_Toc220587309"/>
      <w:proofErr w:type="spellStart"/>
      <w:r w:rsidRPr="00AE3070">
        <w:rPr>
          <w:rFonts w:ascii="Aptos" w:eastAsia="Times New Roman" w:hAnsi="Aptos" w:cs="Times New Roman"/>
          <w:i/>
          <w:iCs/>
          <w:color w:val="002060"/>
          <w:kern w:val="36"/>
          <w:sz w:val="18"/>
          <w:szCs w:val="18"/>
        </w:rPr>
        <w:t>VNA</w:t>
      </w:r>
      <w:proofErr w:type="spellEnd"/>
      <w:r w:rsidRPr="00AE3070">
        <w:rPr>
          <w:rFonts w:ascii="Aptos" w:eastAsia="Times New Roman" w:hAnsi="Aptos" w:cs="Times New Roman"/>
          <w:i/>
          <w:iCs/>
          <w:color w:val="002060"/>
          <w:kern w:val="36"/>
          <w:sz w:val="18"/>
          <w:szCs w:val="18"/>
        </w:rPr>
        <w:t>/VNS</w:t>
      </w:r>
      <w:bookmarkEnd w:id="1224"/>
    </w:p>
    <w:p w14:paraId="29DF5423" w14:textId="77777777" w:rsidR="00D378BD" w:rsidRPr="00E7374B" w:rsidRDefault="00D378BD" w:rsidP="0082515C">
      <w:pPr>
        <w:spacing w:after="150" w:line="288" w:lineRule="auto"/>
        <w:outlineLvl w:val="0"/>
        <w:rPr>
          <w:rFonts w:ascii="Aptos" w:eastAsia="Times New Roman" w:hAnsi="Aptos" w:cs="Times New Roman"/>
          <w:color w:val="002060"/>
          <w:kern w:val="36"/>
        </w:rPr>
      </w:pPr>
    </w:p>
    <w:p w14:paraId="1433328E" w14:textId="1B31C5C1" w:rsidR="00E7374B" w:rsidRPr="00E7374B" w:rsidRDefault="00E7374B" w:rsidP="0082515C">
      <w:pPr>
        <w:spacing w:after="450" w:line="288" w:lineRule="auto"/>
        <w:rPr>
          <w:rFonts w:ascii="Aptos" w:eastAsia="Times New Roman" w:hAnsi="Aptos" w:cs="Segoe UI"/>
          <w:color w:val="002060"/>
        </w:rPr>
      </w:pPr>
      <w:r w:rsidRPr="00E7374B">
        <w:rPr>
          <w:rFonts w:ascii="Aptos" w:eastAsia="Times New Roman" w:hAnsi="Aptos" w:cs="Segoe UI"/>
          <w:color w:val="002060"/>
        </w:rPr>
        <w:t>The State Bank of Vietnam (</w:t>
      </w:r>
      <w:proofErr w:type="spellStart"/>
      <w:r w:rsidRPr="00E7374B">
        <w:rPr>
          <w:rFonts w:ascii="Aptos" w:eastAsia="Times New Roman" w:hAnsi="Aptos" w:cs="Segoe UI"/>
          <w:color w:val="002060"/>
        </w:rPr>
        <w:t>SBV</w:t>
      </w:r>
      <w:proofErr w:type="spellEnd"/>
      <w:r w:rsidRPr="00E7374B">
        <w:rPr>
          <w:rFonts w:ascii="Aptos" w:eastAsia="Times New Roman" w:hAnsi="Aptos" w:cs="Segoe UI"/>
          <w:color w:val="002060"/>
        </w:rPr>
        <w:t>) has issued a decision promulgating an implementation plan for Government Decree No 368/2025/ND-CP on the provision of Mobile Money services.</w:t>
      </w:r>
    </w:p>
    <w:p w14:paraId="0B271E52" w14:textId="77777777" w:rsidR="00E7374B" w:rsidRPr="00E7374B" w:rsidRDefault="00E7374B" w:rsidP="0082515C">
      <w:pPr>
        <w:spacing w:after="450" w:line="288" w:lineRule="auto"/>
        <w:rPr>
          <w:rFonts w:ascii="Aptos" w:eastAsia="Times New Roman" w:hAnsi="Aptos" w:cs="Segoe UI"/>
          <w:color w:val="002060"/>
        </w:rPr>
      </w:pPr>
      <w:r w:rsidRPr="00E7374B">
        <w:rPr>
          <w:rFonts w:ascii="Aptos" w:eastAsia="Times New Roman" w:hAnsi="Aptos" w:cs="Segoe UI"/>
          <w:color w:val="002060"/>
        </w:rPr>
        <w:t xml:space="preserve">Under the plan, the </w:t>
      </w:r>
      <w:proofErr w:type="spellStart"/>
      <w:r w:rsidRPr="00E7374B">
        <w:rPr>
          <w:rFonts w:ascii="Aptos" w:eastAsia="Times New Roman" w:hAnsi="Aptos" w:cs="Segoe UI"/>
          <w:color w:val="002060"/>
        </w:rPr>
        <w:t>SBV</w:t>
      </w:r>
      <w:proofErr w:type="spellEnd"/>
      <w:r w:rsidRPr="00E7374B">
        <w:rPr>
          <w:rFonts w:ascii="Aptos" w:eastAsia="Times New Roman" w:hAnsi="Aptos" w:cs="Segoe UI"/>
          <w:color w:val="002060"/>
        </w:rPr>
        <w:t xml:space="preserve"> clearly defines objectives, tasks, implementation timelines, and specific responsibilities for each affiliated unit, ensuring that the new regulations are rolled out in a timely manner, in line with regulatory orientations and practical conditions.</w:t>
      </w:r>
    </w:p>
    <w:p w14:paraId="76C2F41F" w14:textId="77777777" w:rsidR="00E7374B" w:rsidRPr="00E7374B" w:rsidRDefault="00E7374B" w:rsidP="0082515C">
      <w:pPr>
        <w:spacing w:after="450" w:line="288" w:lineRule="auto"/>
        <w:rPr>
          <w:rFonts w:ascii="Aptos" w:eastAsia="Times New Roman" w:hAnsi="Aptos" w:cs="Segoe UI"/>
          <w:color w:val="002060"/>
        </w:rPr>
      </w:pPr>
      <w:r w:rsidRPr="00E7374B">
        <w:rPr>
          <w:rFonts w:ascii="Aptos" w:eastAsia="Times New Roman" w:hAnsi="Aptos" w:cs="Segoe UI"/>
          <w:color w:val="002060"/>
        </w:rPr>
        <w:t xml:space="preserve">Immediately after the issuance of the decree, the central bank will publish its full text on the national database, while also </w:t>
      </w:r>
      <w:proofErr w:type="spellStart"/>
      <w:r w:rsidRPr="00E7374B">
        <w:rPr>
          <w:rFonts w:ascii="Aptos" w:eastAsia="Times New Roman" w:hAnsi="Aptos" w:cs="Segoe UI"/>
          <w:color w:val="002060"/>
        </w:rPr>
        <w:t>organising</w:t>
      </w:r>
      <w:proofErr w:type="spellEnd"/>
      <w:r w:rsidRPr="00E7374B">
        <w:rPr>
          <w:rFonts w:ascii="Aptos" w:eastAsia="Times New Roman" w:hAnsi="Aptos" w:cs="Segoe UI"/>
          <w:color w:val="002060"/>
        </w:rPr>
        <w:t xml:space="preserve"> information disclosure and policy communication in accordance with regulations. This will help </w:t>
      </w:r>
      <w:proofErr w:type="spellStart"/>
      <w:r w:rsidRPr="00E7374B">
        <w:rPr>
          <w:rFonts w:ascii="Aptos" w:eastAsia="Times New Roman" w:hAnsi="Aptos" w:cs="Segoe UI"/>
          <w:color w:val="002060"/>
        </w:rPr>
        <w:t>organisations</w:t>
      </w:r>
      <w:proofErr w:type="spellEnd"/>
      <w:r w:rsidRPr="00E7374B">
        <w:rPr>
          <w:rFonts w:ascii="Aptos" w:eastAsia="Times New Roman" w:hAnsi="Aptos" w:cs="Segoe UI"/>
          <w:color w:val="002060"/>
        </w:rPr>
        <w:t>, individuals, and the public promptly access and grasp the core contents related to Mobile Money services.</w:t>
      </w:r>
    </w:p>
    <w:p w14:paraId="301C3C47" w14:textId="77777777" w:rsidR="00E7374B" w:rsidRPr="00E7374B" w:rsidRDefault="00E7374B" w:rsidP="0082515C">
      <w:pPr>
        <w:spacing w:after="450" w:line="288" w:lineRule="auto"/>
        <w:rPr>
          <w:rFonts w:ascii="Aptos" w:eastAsia="Times New Roman" w:hAnsi="Aptos" w:cs="Segoe UI"/>
          <w:color w:val="002060"/>
        </w:rPr>
      </w:pPr>
      <w:r w:rsidRPr="00E7374B">
        <w:rPr>
          <w:rFonts w:ascii="Aptos" w:eastAsia="Times New Roman" w:hAnsi="Aptos" w:cs="Segoe UI"/>
          <w:color w:val="002060"/>
        </w:rPr>
        <w:t>Communication efforts will be strengthened through coordination with media agencies and the development of appropriate communication products, focusing on clarifying the scope of application, operating principles, and management requirements for this new form of payment service.</w:t>
      </w:r>
    </w:p>
    <w:p w14:paraId="464142BD" w14:textId="77777777" w:rsidR="00E7374B" w:rsidRPr="00E7374B" w:rsidRDefault="00E7374B" w:rsidP="0082515C">
      <w:pPr>
        <w:spacing w:after="450" w:line="288" w:lineRule="auto"/>
        <w:rPr>
          <w:rFonts w:ascii="Aptos" w:eastAsia="Times New Roman" w:hAnsi="Aptos" w:cs="Segoe UI"/>
          <w:color w:val="002060"/>
        </w:rPr>
      </w:pPr>
      <w:r w:rsidRPr="00E7374B">
        <w:rPr>
          <w:rFonts w:ascii="Aptos" w:eastAsia="Times New Roman" w:hAnsi="Aptos" w:cs="Segoe UI"/>
          <w:color w:val="002060"/>
        </w:rPr>
        <w:t xml:space="preserve">Regarding implementation, the </w:t>
      </w:r>
      <w:proofErr w:type="spellStart"/>
      <w:r w:rsidRPr="00E7374B">
        <w:rPr>
          <w:rFonts w:ascii="Aptos" w:eastAsia="Times New Roman" w:hAnsi="Aptos" w:cs="Segoe UI"/>
          <w:color w:val="002060"/>
        </w:rPr>
        <w:t>SBV’s</w:t>
      </w:r>
      <w:proofErr w:type="spellEnd"/>
      <w:r w:rsidRPr="00E7374B">
        <w:rPr>
          <w:rFonts w:ascii="Aptos" w:eastAsia="Times New Roman" w:hAnsi="Aptos" w:cs="Segoe UI"/>
          <w:color w:val="002060"/>
        </w:rPr>
        <w:t xml:space="preserve"> Payment Department has been assigned as the lead unit, working with relevant departments to develop internal coordination regulations for submission to the </w:t>
      </w:r>
      <w:proofErr w:type="spellStart"/>
      <w:r w:rsidRPr="00E7374B">
        <w:rPr>
          <w:rFonts w:ascii="Aptos" w:eastAsia="Times New Roman" w:hAnsi="Aptos" w:cs="Segoe UI"/>
          <w:color w:val="002060"/>
        </w:rPr>
        <w:t>SBV</w:t>
      </w:r>
      <w:proofErr w:type="spellEnd"/>
      <w:r w:rsidRPr="00E7374B">
        <w:rPr>
          <w:rFonts w:ascii="Aptos" w:eastAsia="Times New Roman" w:hAnsi="Aptos" w:cs="Segoe UI"/>
          <w:color w:val="002060"/>
        </w:rPr>
        <w:t xml:space="preserve"> Governor for issuance. The department will also be responsible for monitoring implementation, providing guidance, and addressing difficulties and issues arising during the execution of the decree.</w:t>
      </w:r>
    </w:p>
    <w:p w14:paraId="50AA296C" w14:textId="77777777" w:rsidR="00E7374B" w:rsidRPr="00E7374B" w:rsidRDefault="00E7374B" w:rsidP="0082515C">
      <w:pPr>
        <w:spacing w:after="450" w:line="288" w:lineRule="auto"/>
        <w:rPr>
          <w:rFonts w:ascii="Aptos" w:eastAsia="Times New Roman" w:hAnsi="Aptos" w:cs="Segoe UI"/>
          <w:color w:val="002060"/>
        </w:rPr>
      </w:pPr>
      <w:r w:rsidRPr="00E7374B">
        <w:rPr>
          <w:rFonts w:ascii="Aptos" w:eastAsia="Times New Roman" w:hAnsi="Aptos" w:cs="Segoe UI"/>
          <w:color w:val="002060"/>
        </w:rPr>
        <w:t xml:space="preserve">In addition, the </w:t>
      </w:r>
      <w:proofErr w:type="spellStart"/>
      <w:r w:rsidRPr="00E7374B">
        <w:rPr>
          <w:rFonts w:ascii="Aptos" w:eastAsia="Times New Roman" w:hAnsi="Aptos" w:cs="Segoe UI"/>
          <w:color w:val="002060"/>
        </w:rPr>
        <w:t>SBV</w:t>
      </w:r>
      <w:proofErr w:type="spellEnd"/>
      <w:r w:rsidRPr="00E7374B">
        <w:rPr>
          <w:rFonts w:ascii="Aptos" w:eastAsia="Times New Roman" w:hAnsi="Aptos" w:cs="Segoe UI"/>
          <w:color w:val="002060"/>
        </w:rPr>
        <w:t xml:space="preserve"> will issue a decision stipulating periodic reporting requirements to support the management and supervision of Mobile Money service provision in accordance with the law.</w:t>
      </w:r>
    </w:p>
    <w:p w14:paraId="2B03E921" w14:textId="77777777" w:rsidR="00E7374B" w:rsidRPr="00E7374B" w:rsidRDefault="00E7374B" w:rsidP="0082515C">
      <w:pPr>
        <w:spacing w:after="450" w:line="288" w:lineRule="auto"/>
        <w:rPr>
          <w:rFonts w:ascii="Aptos" w:eastAsia="Times New Roman" w:hAnsi="Aptos" w:cs="Segoe UI"/>
          <w:color w:val="002060"/>
        </w:rPr>
      </w:pPr>
      <w:r w:rsidRPr="00E7374B">
        <w:rPr>
          <w:rFonts w:ascii="Aptos" w:eastAsia="Times New Roman" w:hAnsi="Aptos" w:cs="Segoe UI"/>
          <w:color w:val="002060"/>
        </w:rPr>
        <w:lastRenderedPageBreak/>
        <w:t>The issuance of this implementation plan is considered an important step toward promoting financial inclusion. Mobile Money services are not only a convenient payment tool but also an effective means of extending digital financial services to remote and disadvantaged areas.</w:t>
      </w:r>
    </w:p>
    <w:p w14:paraId="02AC0F66" w14:textId="41BB4EF0" w:rsidR="00F81137" w:rsidRPr="0082515C" w:rsidRDefault="00E7374B" w:rsidP="0082515C">
      <w:pPr>
        <w:spacing w:after="450" w:line="288" w:lineRule="auto"/>
        <w:rPr>
          <w:rStyle w:val="Hyperlink"/>
          <w:rFonts w:ascii="Segoe UI" w:eastAsia="Times New Roman" w:hAnsi="Segoe UI" w:cs="Segoe UI"/>
          <w:color w:val="000000"/>
          <w:sz w:val="27"/>
          <w:szCs w:val="27"/>
          <w:u w:val="none"/>
        </w:rPr>
      </w:pPr>
      <w:r w:rsidRPr="00E7374B">
        <w:rPr>
          <w:rFonts w:ascii="Aptos" w:eastAsia="Times New Roman" w:hAnsi="Aptos" w:cs="Segoe UI"/>
          <w:color w:val="002060"/>
        </w:rPr>
        <w:t xml:space="preserve">The central bank </w:t>
      </w:r>
      <w:proofErr w:type="spellStart"/>
      <w:r w:rsidRPr="00E7374B">
        <w:rPr>
          <w:rFonts w:ascii="Aptos" w:eastAsia="Times New Roman" w:hAnsi="Aptos" w:cs="Segoe UI"/>
          <w:color w:val="002060"/>
        </w:rPr>
        <w:t>emphasised</w:t>
      </w:r>
      <w:proofErr w:type="spellEnd"/>
      <w:r w:rsidRPr="00E7374B">
        <w:rPr>
          <w:rFonts w:ascii="Aptos" w:eastAsia="Times New Roman" w:hAnsi="Aptos" w:cs="Segoe UI"/>
          <w:color w:val="002060"/>
        </w:rPr>
        <w:t xml:space="preserve"> that all units must proactively carry out their assigned tasks on schedule and with high quality so that Decree 368 can soon take effect, contributing to the development of a safe and sound cashless payment ecosystem in Vietnam</w:t>
      </w:r>
      <w:r w:rsidRPr="00E7374B">
        <w:rPr>
          <w:rFonts w:ascii="Segoe UI" w:eastAsia="Times New Roman" w:hAnsi="Segoe UI" w:cs="Segoe UI"/>
          <w:color w:val="000000"/>
          <w:sz w:val="27"/>
          <w:szCs w:val="27"/>
        </w:rPr>
        <w:t xml:space="preserve">. </w:t>
      </w:r>
    </w:p>
    <w:p w14:paraId="0637A1DB" w14:textId="77777777" w:rsidR="00F81137" w:rsidRDefault="009A69E6" w:rsidP="00F81137">
      <w:pPr>
        <w:spacing w:line="288" w:lineRule="auto"/>
        <w:jc w:val="right"/>
        <w:rPr>
          <w:rStyle w:val="Hyperlink"/>
          <w:rFonts w:ascii="Aptos" w:eastAsia="Malgun Gothic" w:hAnsi="Aptos" w:cs="Times New Roman"/>
          <w:color w:val="002060"/>
        </w:rPr>
      </w:pPr>
      <w:hyperlink w:anchor="_top" w:history="1">
        <w:r w:rsidR="00F81137" w:rsidRPr="004C6CBE">
          <w:rPr>
            <w:rStyle w:val="Hyperlink"/>
            <w:rFonts w:ascii="Aptos" w:eastAsia="Malgun Gothic" w:hAnsi="Aptos" w:cs="Times New Roman"/>
            <w:color w:val="002060"/>
          </w:rPr>
          <w:t>Back to Top</w:t>
        </w:r>
      </w:hyperlink>
    </w:p>
    <w:p w14:paraId="369C7F70" w14:textId="77777777" w:rsidR="00F81137" w:rsidRPr="00F81137" w:rsidRDefault="00F81137" w:rsidP="00F81137">
      <w:pPr>
        <w:spacing w:after="450" w:line="420" w:lineRule="atLeast"/>
        <w:rPr>
          <w:rFonts w:ascii="Segoe UI" w:eastAsia="Times New Roman" w:hAnsi="Segoe UI" w:cs="Segoe UI"/>
          <w:color w:val="000000"/>
          <w:sz w:val="27"/>
          <w:szCs w:val="27"/>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0"/>
    <w:p w14:paraId="3918B726" w14:textId="77777777"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CB7"/>
    <w:multiLevelType w:val="multilevel"/>
    <w:tmpl w:val="FF202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731A99"/>
    <w:multiLevelType w:val="multilevel"/>
    <w:tmpl w:val="361E6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B772DA"/>
    <w:multiLevelType w:val="multilevel"/>
    <w:tmpl w:val="D8061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64703E"/>
    <w:multiLevelType w:val="multilevel"/>
    <w:tmpl w:val="8F82D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CC74B1"/>
    <w:multiLevelType w:val="multilevel"/>
    <w:tmpl w:val="E84A2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501D7A"/>
    <w:multiLevelType w:val="multilevel"/>
    <w:tmpl w:val="012E7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14337A"/>
    <w:multiLevelType w:val="multilevel"/>
    <w:tmpl w:val="2C505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8052916"/>
    <w:multiLevelType w:val="multilevel"/>
    <w:tmpl w:val="B950A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55671C"/>
    <w:multiLevelType w:val="multilevel"/>
    <w:tmpl w:val="F904C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F157E0"/>
    <w:multiLevelType w:val="multilevel"/>
    <w:tmpl w:val="C846C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1908D3"/>
    <w:multiLevelType w:val="multilevel"/>
    <w:tmpl w:val="7100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0D05B63"/>
    <w:multiLevelType w:val="multilevel"/>
    <w:tmpl w:val="4366F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001415"/>
    <w:multiLevelType w:val="multilevel"/>
    <w:tmpl w:val="56B4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B1F96"/>
    <w:multiLevelType w:val="multilevel"/>
    <w:tmpl w:val="EA2E7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2379031">
    <w:abstractNumId w:val="13"/>
  </w:num>
  <w:num w:numId="2" w16cid:durableId="734857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29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452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718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75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415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822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488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9918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808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455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597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5222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27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3F"/>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57EB5"/>
    <w:rsid w:val="00560843"/>
    <w:rsid w:val="00561B17"/>
    <w:rsid w:val="00561FC5"/>
    <w:rsid w:val="00562185"/>
    <w:rsid w:val="0056231A"/>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5CDF"/>
    <w:rsid w:val="00766293"/>
    <w:rsid w:val="0076747D"/>
    <w:rsid w:val="007674C1"/>
    <w:rsid w:val="00767F51"/>
    <w:rsid w:val="007707EC"/>
    <w:rsid w:val="00770ECF"/>
    <w:rsid w:val="007711C9"/>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199"/>
    <w:rsid w:val="008444CC"/>
    <w:rsid w:val="00844999"/>
    <w:rsid w:val="0084542E"/>
    <w:rsid w:val="00845E46"/>
    <w:rsid w:val="00846825"/>
    <w:rsid w:val="00846AE5"/>
    <w:rsid w:val="00846BB1"/>
    <w:rsid w:val="00846BF2"/>
    <w:rsid w:val="00846CC4"/>
    <w:rsid w:val="00847364"/>
    <w:rsid w:val="0084776C"/>
    <w:rsid w:val="0085087F"/>
    <w:rsid w:val="00850D96"/>
    <w:rsid w:val="008514BC"/>
    <w:rsid w:val="00851505"/>
    <w:rsid w:val="00851BB2"/>
    <w:rsid w:val="00852DFC"/>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001"/>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345"/>
    <w:rsid w:val="00A365C3"/>
    <w:rsid w:val="00A36F07"/>
    <w:rsid w:val="00A37347"/>
    <w:rsid w:val="00A37381"/>
    <w:rsid w:val="00A37AEC"/>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5A6"/>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9A69E6"/>
    <w:pPr>
      <w:spacing w:before="360" w:after="360"/>
    </w:pPr>
    <w:rPr>
      <w:rFonts w:ascii="Aptos" w:hAnsi="Aptos"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hyperlink" Target="https://www.vietnam.vn/category/kinh-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etnam.vn/authors/moit-gov-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offshore%20wind%20pow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vir.com.vn/search_enginer.html?p=search&amp;q=An%20Phat%20Holdings&amp;s_cond=1&amp;f_d=&amp;t_d=22-01-2026" TargetMode="External"/><Relationship Id="rId14" Type="http://schemas.openxmlformats.org/officeDocument/2006/relationships/hyperlink" Target="https://www.vietnam.vn/category/chinh-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9066</Words>
  <Characters>51678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60623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2026-01-29T03:19:00Z</dcterms:created>
  <dcterms:modified xsi:type="dcterms:W3CDTF">2026-01-29T06:58:00Z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